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1.1.0 -->
  <w:body>
    <w:p>
      <w:pPr>
        <w:pStyle w:val="subTitleStyle"/>
        <w:spacing w:after="100" w:afterAutospacing="0"/>
        <w:jc w:val="center"/>
      </w:pPr>
      <w:r>
        <w:t>2025年普通高中学业水平选择性考试（四川卷）地理试题（解析版）</w:t>
      </w:r>
    </w:p>
    <w:p>
      <w:pPr>
        <w:pStyle w:val="Normal78f56e90-7d11-4e06-b927-7801cb71c61e"/>
      </w:pPr>
    </w:p>
    <w:p>
      <w:pPr>
        <w:pStyle w:val="paraStyle"/>
        <w:spacing w:before="200" w:beforeAutospacing="0" w:after="200" w:afterAutospacing="0"/>
      </w:pPr>
      <w:r>
        <w:t>一、单选题</w:t>
      </w:r>
    </w:p>
    <w:p>
      <w:pPr>
        <w:pStyle w:val="Normal78f56e90-7d11-4e06-b927-7801cb71c61e"/>
        <w:numPr>
          <w:ilvl w:val="0"/>
          <w:numId w:val="0"/>
        </w:numPr>
        <w:spacing w:line="320" w:lineRule="auto"/>
        <w:ind w:firstLine="560"/>
        <w:jc w:val="left"/>
        <w:textAlignment w:val="center"/>
      </w:pP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发展较成熟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规模和结构相对稳定的大都市区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空间上通常表现出较明显的圈层结构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下图示意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1960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～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2010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年某大都市区核心圈层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距老城中心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5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千米范围内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）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的人口密度变化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据此完成下面小题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714750" cy="1581150"/>
            <wp:effectExtent l="0" t="0" r="0" b="0"/>
            <wp:docPr id="2" name="_x0000_i1026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_x0000_i1026" descr="@@@1e614553-c854-432e-b33a-1c88e059c8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该大都市区核心圈层人口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持续向外扩散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先扩散再集聚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先集聚再扩散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持续向内集聚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该大都市区最可能位于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亚洲南部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欧洲西部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美洲中部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非洲东部</w:t>
      </w:r>
    </w:p>
    <w:p>
      <w:pPr>
        <w:pStyle w:val="Normal78f56e90-7d11-4e06-b927-7801cb71c61e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</w:p>
    <w:p>
      <w:pPr>
        <w:pStyle w:val="Normal78f56e90-7d11-4e06-b927-7801cb71c61e"/>
        <w:numPr>
          <w:ilvl w:val="0"/>
          <w:numId w:val="0"/>
        </w:numPr>
        <w:spacing w:line="320" w:lineRule="auto"/>
        <w:ind w:firstLine="560"/>
        <w:jc w:val="left"/>
        <w:textAlignment w:val="center"/>
        <w:rPr>
          <w:sz w:val="21"/>
        </w:rPr>
      </w:pP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信息传输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软件与信息技术服务业属于数字经济核心产业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2000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～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2020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年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杭州市的数字经济企业由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0.27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万个增长至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14.24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万个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是长三角数字经济增长极之一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数字经济企业核心集聚区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2011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年前为西湖区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2011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～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2015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年为西湖区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滨江区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2015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年后为滨江区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西湖区和余杭区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下图为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2014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～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2020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年杭州市服务业产值构成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据此完成下面小题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400425" cy="1562100"/>
            <wp:effectExtent l="0" t="0" r="9525" b="0"/>
            <wp:docPr id="3" name="_x0000_i102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_x0000_i1027" descr="@@@6588e4ae-2ead-467f-97ad-c29db448d9f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3．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2014～2020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随着数字经济的发展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杭州市服务业中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房地产业产值减少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科学研究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技术服务业产值减少</w:t>
      </w:r>
    </w:p>
    <w:p>
      <w:pPr>
        <w:pStyle w:val="Normal78f56e90-7d11-4e06-b927-7801cb71c61e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金融业产值占比降低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其他服务业产值占比降低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4．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2000～2020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杭州市数字经济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①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人才净流出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②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企业核心集聚区不断收缩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③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人才净流入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④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企业核心集聚区不断扩张</w:t>
      </w:r>
    </w:p>
    <w:p>
      <w:pPr>
        <w:pStyle w:val="Normal78f56e90-7d11-4e06-b927-7801cb71c61e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A．①②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B．②③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C．③④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D．①④</w:t>
      </w:r>
    </w:p>
    <w:p>
      <w:pPr>
        <w:pStyle w:val="Normal78f56e90-7d11-4e06-b927-7801cb71c61e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</w:p>
    <w:p>
      <w:pPr>
        <w:pStyle w:val="Normal78f56e90-7d11-4e06-b927-7801cb71c61e"/>
        <w:numPr>
          <w:ilvl w:val="0"/>
          <w:numId w:val="0"/>
        </w:numPr>
        <w:spacing w:line="320" w:lineRule="auto"/>
        <w:ind w:firstLine="560"/>
        <w:jc w:val="left"/>
        <w:textAlignment w:val="center"/>
        <w:rPr>
          <w:sz w:val="21"/>
        </w:rPr>
      </w:pP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大遗址是占地广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级别高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影响力强的文化遗址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大遗址区包含大遗址及其联系密切的周边环境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大遗址区中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农业商品化片区生产的农产品主要服务于大遗址区旅游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下图示意关中地区甲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乙大遗址区的空间功能分区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据此完成下面小题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743450" cy="1657350"/>
            <wp:effectExtent l="0" t="0" r="0" b="0"/>
            <wp:docPr id="4" name="_x0000_i102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_x0000_i1028" descr="@@@ed82c932-e719-4acd-94e1-6ad165f858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5．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图中大遗址的主要功能是提供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①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农副产品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②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工业产品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③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游憩产品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④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精神财富</w:t>
      </w:r>
    </w:p>
    <w:p>
      <w:pPr>
        <w:pStyle w:val="Normal78f56e90-7d11-4e06-b927-7801cb71c61e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A．①②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B．②③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C．③④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D．①④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6．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甲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乙大遗址区功能分区布局的差异反映出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①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甲大遗址区的地形较乙平坦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②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甲大遗址的旅游带动力较乙大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③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乙大遗址区的地形较甲平坦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④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乙大遗址的旅游带动力较甲大</w:t>
      </w:r>
    </w:p>
    <w:p>
      <w:pPr>
        <w:pStyle w:val="Normal78f56e90-7d11-4e06-b927-7801cb71c61e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A．①②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B．②③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C．③④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D．①④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7．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为更好保护甲中面积较大的大遗址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未来可采取的措施是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南侧发展仓储物流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北侧扩张工贸服务</w:t>
      </w:r>
    </w:p>
    <w:p>
      <w:pPr>
        <w:pStyle w:val="Normal78f56e90-7d11-4e06-b927-7801cb71c61e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东侧控制旅游用地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西侧建设住宅小区</w:t>
      </w:r>
    </w:p>
    <w:p>
      <w:pPr>
        <w:pStyle w:val="Normal78f56e90-7d11-4e06-b927-7801cb71c61e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</w:p>
    <w:p>
      <w:pPr>
        <w:pStyle w:val="Normal78f56e90-7d11-4e06-b927-7801cb71c61e"/>
        <w:numPr>
          <w:ilvl w:val="0"/>
          <w:numId w:val="0"/>
        </w:numPr>
        <w:spacing w:line="320" w:lineRule="auto"/>
        <w:ind w:firstLine="560"/>
        <w:jc w:val="left"/>
        <w:textAlignment w:val="center"/>
        <w:rPr>
          <w:sz w:val="21"/>
        </w:rPr>
      </w:pP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中吉乌铁路东起我国新疆喀什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途经吉尔吉斯斯坦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西至乌兹别克斯坦安集延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该铁路建成后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将成为我国经中亚联系波斯湾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地中海地区便捷的陆上通道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下图示意中吉乌铁路选线方案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据此完成下面小题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276600" cy="1895475"/>
            <wp:effectExtent l="0" t="0" r="0" b="9525"/>
            <wp:docPr id="5" name="_x0000_i102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_x0000_i1029" descr="@@@7e357b10-1929-4a57-85c7-f74c4b31c5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8．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该铁路选线最终确定为综合方案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优先考虑的因素是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①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铁路线路长度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②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途经城镇数量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③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衔接规划铁路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④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地质构造条件</w:t>
      </w:r>
    </w:p>
    <w:p>
      <w:pPr>
        <w:pStyle w:val="Normal78f56e90-7d11-4e06-b927-7801cb71c61e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A．①②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B．②③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C．③④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D．①④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9．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我国通过该铁路向吉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乌两国出口的主要商品最可能是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工业制成品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棉花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金属矿产品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牛羊肉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10．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该铁路建成后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对我国能源安全保障的作用体现在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降低化石能源消费量占比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降低海运中东石油运价</w:t>
      </w:r>
    </w:p>
    <w:p>
      <w:pPr>
        <w:pStyle w:val="Normal78f56e90-7d11-4e06-b927-7801cb71c61e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促进能源生产结构多元化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开辟新的能源进口通道</w:t>
      </w:r>
    </w:p>
    <w:p>
      <w:pPr>
        <w:pStyle w:val="Normal78f56e90-7d11-4e06-b927-7801cb71c61e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</w:p>
    <w:p>
      <w:pPr>
        <w:pStyle w:val="Normal78f56e90-7d11-4e06-b927-7801cb71c61e"/>
        <w:numPr>
          <w:ilvl w:val="0"/>
          <w:numId w:val="0"/>
        </w:numPr>
        <w:spacing w:line="320" w:lineRule="auto"/>
        <w:ind w:firstLine="560"/>
        <w:jc w:val="left"/>
        <w:textAlignment w:val="center"/>
        <w:rPr>
          <w:sz w:val="21"/>
        </w:rPr>
      </w:pP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下图为非洲南部某地遥感影像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影像所在地为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25°S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年降水量约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650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毫米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影像中河流正值枯水期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河流以西为克鲁格国家公园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公园南北长达数百千米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野生动物可自由迁徙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据此完成下面小题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171950" cy="1600200"/>
            <wp:effectExtent l="0" t="0" r="0" b="0"/>
            <wp:docPr id="6" name="_x0000_i103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_x0000_i1030" descr="@@@632117d3a35440a9b70d6f5a0fca2ca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11．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影像所在地的自然地带是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tabs>
          <w:tab w:val="left" w:pos="2078"/>
          <w:tab w:val="left" w:pos="4156"/>
          <w:tab w:val="left" w:pos="6234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热带雨林带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亚热带常绿硬叶林带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热带草原带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亚热带常绿阔叶林带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12．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结合局部放大图中的树影方向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推测该影像可能拍摄于当地时间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tabs>
          <w:tab w:val="left" w:pos="2078"/>
          <w:tab w:val="left" w:pos="4156"/>
          <w:tab w:val="left" w:pos="6234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A．5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25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日上午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B．5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25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日下午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C．11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25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日上午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D．11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25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日下午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13．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影像所在地能看到更多野生动物的时段是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tabs>
          <w:tab w:val="left" w:pos="2078"/>
          <w:tab w:val="left" w:pos="4156"/>
          <w:tab w:val="left" w:pos="6234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A．2～3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B．4～5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C．6～7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D．8～9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</w:p>
    <w:p>
      <w:pPr>
        <w:pStyle w:val="Normal78f56e90-7d11-4e06-b927-7801cb71c61e"/>
        <w:tabs>
          <w:tab w:val="left" w:pos="2078"/>
          <w:tab w:val="left" w:pos="4156"/>
          <w:tab w:val="left" w:pos="6234"/>
        </w:tabs>
        <w:spacing w:line="320" w:lineRule="auto"/>
        <w:ind w:left="380"/>
        <w:jc w:val="left"/>
        <w:textAlignment w:val="center"/>
        <w:rPr>
          <w:sz w:val="21"/>
        </w:rPr>
      </w:pPr>
    </w:p>
    <w:p>
      <w:pPr>
        <w:pStyle w:val="Normal78f56e90-7d11-4e06-b927-7801cb71c61e"/>
        <w:numPr>
          <w:ilvl w:val="0"/>
          <w:numId w:val="0"/>
        </w:numPr>
        <w:spacing w:line="320" w:lineRule="auto"/>
        <w:ind w:firstLine="560"/>
        <w:jc w:val="left"/>
        <w:textAlignment w:val="center"/>
        <w:rPr>
          <w:sz w:val="21"/>
        </w:rPr>
      </w:pP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青藏高原黄河源区季节性冻土和多年冻土分布广泛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多年冻土由季节性融化的活动层和多年冻结的永冻层组成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随着气候变暖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黄河源区冻土退化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1987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～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2017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年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黄河源区某地的河道迁移率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单位时间河道迁移距离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）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在季节性冻土区降低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多年冻土区增加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下图为该地季节性冻土区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多年冻土区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1987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年和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2017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年土壤含冰量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河流流量年内变化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据此完成下面小题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000500" cy="1733550"/>
            <wp:effectExtent l="0" t="0" r="0" b="0"/>
            <wp:docPr id="7" name="_x0000_i103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_x0000_i1031" descr="@@@065e5867-5d6a-48af-84e8-730f6779c4fa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14．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1987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年相比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，2017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年该地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季节性冻土区土壤含冰量全年均减小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季节性冻土区土壤含冰量降幅在丰水期更大</w:t>
      </w:r>
    </w:p>
    <w:p>
      <w:pPr>
        <w:pStyle w:val="Normal78f56e90-7d11-4e06-b927-7801cb71c61e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多年冻土区土壤含冰量降幅在枯水期更大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多年冻土区活动层冻结的时间提前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15．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该地多年冻土区河道迁移率增加的主要原因是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河流含沙量下降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河岸抗蚀能力减弱</w:t>
      </w:r>
    </w:p>
    <w:p>
      <w:pPr>
        <w:pStyle w:val="Normal78f56e90-7d11-4e06-b927-7801cb71c61e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河床高度降低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流量季节变化减小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16．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该地冻土区河道迁移率变化导致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  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>
      <w:pPr>
        <w:pStyle w:val="Normal78f56e90-7d11-4e06-b927-7801cb71c61e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季节性冻土区河流流量减小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季节性冻土区河流裁弯取直频率增大</w:t>
      </w:r>
    </w:p>
    <w:p>
      <w:pPr>
        <w:pStyle w:val="Normal78f56e90-7d11-4e06-b927-7801cb71c61e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多年冻土区河流流量增加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多年冻土区河流裁弯取直频率增大</w:t>
      </w:r>
    </w:p>
    <w:p>
      <w:pPr>
        <w:pStyle w:val="Normal78f56e90-7d11-4e06-b927-7801cb71c61e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</w:p>
    <w:p>
      <w:pPr>
        <w:pStyle w:val="Normal78f56e90-7d11-4e06-b927-7801cb71c61e"/>
      </w:pPr>
    </w:p>
    <w:p>
      <w:pPr>
        <w:pStyle w:val="paraStyle"/>
        <w:spacing w:before="200" w:beforeAutospacing="0" w:after="200" w:afterAutospacing="0"/>
      </w:pPr>
      <w:r>
        <w:t>二、综合题</w:t>
      </w:r>
    </w:p>
    <w:p>
      <w:pPr>
        <w:pStyle w:val="Normal78f56e90-7d11-4e06-b927-7801cb71c61e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17．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阅读材料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完成下列问题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ind w:firstLine="560"/>
        <w:jc w:val="left"/>
        <w:textAlignment w:val="center"/>
        <w:rPr>
          <w:sz w:val="21"/>
        </w:rPr>
      </w:pP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内蒙古东部牧区地处农牧交错带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近年来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当地出现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牲畜跨区转场越冬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现象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10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月中旬至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11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月中旬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牧民将牲畜运输到数百千米外的大兴安岭以东农区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利用农田秸秆和杂草越冬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次年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月末至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3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月中旬返回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下表为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2018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年内蒙古东部牧区不同越冬方式比较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</w:p>
    <w:tbl>
      <w:tblPr>
        <w:tblStyle w:val="TableNormal"/>
        <w:tblW w:w="832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600"/>
      </w:tblPr>
      <w:tblGrid>
        <w:gridCol w:w="1934"/>
        <w:gridCol w:w="2306"/>
        <w:gridCol w:w="4085"/>
      </w:tblGrid>
      <w:tr>
        <w:tblPrEx>
          <w:tblW w:w="832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  <w:tblLook w:val="0600"/>
        </w:tblPrEx>
        <w:trPr>
          <w:trHeight w:hRule="auto" w:val="0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Normal78f56e90-7d11-4e06-b927-7801cb71c61e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越冬方式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Normal78f56e90-7d11-4e06-b927-7801cb71c61e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当地越冬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Normal78f56e90-7d11-4e06-b927-7801cb71c61e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跨区转场越冬</w:t>
            </w:r>
          </w:p>
        </w:tc>
      </w:tr>
      <w:tr>
        <w:tblPrEx>
          <w:tblW w:w="8325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  <w:tblLook w:val="0600"/>
        </w:tblPrEx>
        <w:trPr>
          <w:trHeight w:hRule="auto" w:val="0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Normal78f56e90-7d11-4e06-b927-7801cb71c61e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越冬地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Normal78f56e90-7d11-4e06-b927-7801cb71c61e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内蒙古兴安盟科右前旗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Normal78f56e90-7d11-4e06-b927-7801cb71c61e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吉林白城市镇赉县</w:t>
            </w:r>
          </w:p>
        </w:tc>
      </w:tr>
      <w:tr>
        <w:tblPrEx>
          <w:tblW w:w="8325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  <w:tblLook w:val="0600"/>
        </w:tblPrEx>
        <w:trPr>
          <w:trHeight w:hRule="auto" w:val="0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Normal78f56e90-7d11-4e06-b927-7801cb71c61e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成本构成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Normal78f56e90-7d11-4e06-b927-7801cb71c61e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草料</w:t>
            </w: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、</w:t>
            </w: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饲料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Normal78f56e90-7d11-4e06-b927-7801cb71c61e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运输和装卸</w:t>
            </w: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、</w:t>
            </w: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农地使用</w:t>
            </w: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、</w:t>
            </w: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劳动力和生活等</w:t>
            </w:r>
          </w:p>
        </w:tc>
      </w:tr>
      <w:tr>
        <w:tblPrEx>
          <w:tblW w:w="8325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  <w:tblLook w:val="0600"/>
        </w:tblPrEx>
        <w:trPr>
          <w:trHeight w:hRule="auto" w:val="0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Normal78f56e90-7d11-4e06-b927-7801cb71c61e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成本</w:t>
            </w: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（</w:t>
            </w: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元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hd w:val="clear" w:color="auto" w:fill="auto"/>
                <w:vertAlign w:val="baseline"/>
              </w:rPr>
              <w:t>/</w:t>
            </w: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羊单位</w:t>
            </w: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）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Normal78f56e90-7d11-4e06-b927-7801cb71c61e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hd w:val="clear" w:color="auto" w:fill="auto"/>
                <w:vertAlign w:val="baseline"/>
              </w:rPr>
              <w:t>240</w:t>
            </w: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～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hd w:val="clear" w:color="auto" w:fill="auto"/>
                <w:vertAlign w:val="baseline"/>
              </w:rPr>
              <w:t>340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Normal78f56e90-7d11-4e06-b927-7801cb71c61e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hd w:val="clear" w:color="auto" w:fill="auto"/>
                <w:vertAlign w:val="baseline"/>
              </w:rPr>
              <w:t>151</w:t>
            </w:r>
            <w:r>
              <w:rPr>
                <w:rFonts w:ascii="楷体" w:eastAsia="楷体" w:hAnsi="楷体" w:cs="楷体"/>
                <w:color w:val="000000"/>
                <w:sz w:val="21"/>
                <w:shd w:val="clear" w:color="auto" w:fill="auto"/>
                <w:vertAlign w:val="baseline"/>
              </w:rPr>
              <w:t>～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hd w:val="clear" w:color="auto" w:fill="auto"/>
                <w:vertAlign w:val="baseline"/>
              </w:rPr>
              <w:t>167</w:t>
            </w:r>
          </w:p>
        </w:tc>
      </w:tr>
    </w:tbl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从气候角度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说明该区域出现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牲畜跨区转场越冬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现象的原因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指出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牲畜跨区转场越冬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对农区的有利影响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18．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阅读图文材料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完成下列问题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ind w:firstLine="56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10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月为我国台湾岛东部沿海地区水稻抽穗开花期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2007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10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6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日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15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30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分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台风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罗莎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登陆台湾岛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七级风圈半径约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430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千米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6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日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14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中央山以东的东部沿海局地气温升至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36℃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以上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湿度下降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16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气温升至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39℃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18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仍高达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35℃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同期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台湾岛西部沿海大部分地区气温稳定在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24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～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26℃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下图示意台湾岛地形和该台风的移动路径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790825" cy="1800225"/>
            <wp:effectExtent l="0" t="0" r="9525" b="9525"/>
            <wp:docPr id="8" name="_x0000_i1032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_x0000_i1032" descr="@@@3b5bece3-070a-4265-bfa8-d0ab366b4d3c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估算台东距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2007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10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6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日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16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时台风中心的距离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并判断台东的风向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从地形角度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分析此次台风造成台湾岛东部沿海地区高温低湿现象的成因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说明此次台风对台湾岛东部沿海地区水稻产量的影响及原因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19．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阅读图文材料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完成下列问题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ind w:firstLine="560"/>
        <w:jc w:val="left"/>
        <w:textAlignment w:val="center"/>
        <w:rPr>
          <w:sz w:val="21"/>
        </w:rPr>
      </w:pP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澜沧江发源于我国青藏高原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出境后称湄公河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湄公河是东南亚最长的河流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流经柬埔寨和越南所在的三角洲后注入南海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湄公河河口附近地区地势低平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河湖众多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盛产水稻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热带水果等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人口稠密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经过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19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世纪末以来的大规模开发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人工河渠发达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农田成倍增长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海岸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河堤侵蚀严重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图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示意湄公河河口附近地区水系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图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示意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1998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～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2008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年乙地河床的侵蚀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堆积状况</w:t>
      </w:r>
      <w:r>
        <w:rPr>
          <w:rFonts w:ascii="楷体" w:eastAsia="楷体" w:hAnsi="楷体" w:cs="楷体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695575" cy="2171700"/>
            <wp:effectExtent l="0" t="0" r="9525" b="0"/>
            <wp:docPr id="9" name="_x0000_i103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x0000_i1033" descr="@@@68a7cd1efeaf4e60b6ca2d1ed7c41ac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指出影响湄公河河口年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日等泥沙沉积周期的主要因素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说明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1998～2008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年乙地泥沙沉积厚度从河床到最高洪水位之间的差异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分析极端旱涝对该三角洲泥沙沉积的影响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（4）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若从甲地向丙地开挖出海运河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推测该运河内沉积泥沙的来源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subTitleStyle114660ab-d4bb-4174-8832-48c32af8a8ab"/>
        <w:spacing w:before="600" w:after="600" w:afterAutospacing="0"/>
        <w:jc w:val="center"/>
      </w:pPr>
      <w:r>
        <w:br w:type="page"/>
      </w:r>
      <w:r>
        <w:t>参考答案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答案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B    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B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详解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】1．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曲线显示人口密度并非持续降低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持续向外扩散会使人口密度持续下降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而后期有上升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因此不是持续向外扩散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，A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。1960-1990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年左右人口密度下降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说明人口向外扩散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；1990-2010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年人口密度上升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说明人口向内集聚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呈现先扩散再集聚的特点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，B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，C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曲线存在下降阶段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并非持续向内集聚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，D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rFonts w:hint="eastAsia"/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亚洲南部多发展中国家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城市化处于快速发展阶段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大都市核心圈层人口一般持续集聚或快速变化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不易出现先扩散再集聚且整体稳定的情况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，A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欧洲西部多发达国家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城市化发展成熟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大城市经历郊区城市化即人口扩散后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可能出现再城市化即人口重聚核心区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与图中人口变化相符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，B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美洲中部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非洲东部多发展中国家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城市化水平较低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进程与图中成熟大都市区变化不太契合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，CD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。​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答案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3．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D    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4．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详解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】3．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2014-2020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图中房地产业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科学研究和技术服务业的产值比重变化不大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且没有服务业总产值的相关信息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无法直接推测其产值减少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相反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随着数字经济发展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杭州市服务业总产值大概率增加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房地产业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科学研究和技术服务业产值也应随之增加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，AB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金融业产值占比有波动但未降低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，C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其他服务业产值占比在这期间呈降低趋势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，D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4．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杭州是数字经济增长极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经济发达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数字经济发展需要大量人才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会吸引人才净流入而非净流出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，①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、③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材料显示数字经济企业核心集聚区从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2001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年前的西湖区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到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2011-2015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年的西湖区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滨江区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再到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2015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年后的滨江区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西湖区和余杭区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可见集聚区在扩张而非收缩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，②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、④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答案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5．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C    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6．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A    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7．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C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详解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】5．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大遗址作为文化遗址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核心价值在于提供文化服务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人们能从中获得精神享受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审美体验等非物质收益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进而陶冶情操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丰富精神世界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即其可提供精神财富和游憩产品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，③④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由于大遗址不存在直接的工农业生产活动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无法直接产出农副产品和工业产品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，①②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6．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从区域对比来看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甲区大遗址面积更大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周边旅游服务片区和农业商品化片区的规模也更突出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这表明甲大遗址的旅游带动力强于乙区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，②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、④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乙区北部有退耕还林片区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可推测该区域为山区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地形对功能分区布局限制明显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如大遗址西侧功能分区面积小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而甲区各功能分区以大遗址为中心向外围有序扩展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不受地形显著制约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说明甲区地形比乙区更平坦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，①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、③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rFonts w:hint="eastAsia"/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7．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甲区面积较大的大遗址东侧紧邻旅游服务片区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若旅游用地向西扩张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必然会挤占大遗址的生存空间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因此为有效保护该大遗址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东侧需严格控制旅游用地的扩张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，C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在大遗址南侧发展仓储物流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北侧扩张工贸服务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西侧建设住宅小区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都会增加遗址周边的产业活动和人口密度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对文化遗址的保护造成不利影响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，ABD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。​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答案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8．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B    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9．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A    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10．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详解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】8．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从图中能看出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综合方案的地质构造条件不如北线方案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线路长度也大于北线方案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所以确定综合方案优先考虑的因素不包括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①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和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④，ACD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综合方案途经的城镇数量最多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且能衔接沿线国家规划铁路和已建铁路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途经城镇数量多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可联系更多城镇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促进我国与沿线城镇的贸易往来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衔接现有交通线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能让该铁路线联系更广泛的区域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因此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②③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是优先考虑的因素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，B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9．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与我国相比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吉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乌两国制造业水平较低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工业制成品短缺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所以我国通过该铁路向这两国出口的主要商品最可能是工业制成品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，A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吉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乌两国地处中亚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适合棉花种植和畜牧业发展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矿产资源也较丰富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因此我国向其出口的主要商品不太可能是棉花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牛羊肉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金属矿产品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，BCD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rFonts w:hint="eastAsia"/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10．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材料提到该铁路建成后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将成为我国经中亚联系波斯湾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地中海地区的陆上通道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波斯湾地区石油资源丰富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这条铁路能让我国开辟从波斯湾进口石油的陆上通道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减少对海运石油的依赖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从而保障我国能源安全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，D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它只是新增了能源进口通道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不会降低我国化石能源消费量占比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，A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无法改变海运条件和对中东石油的依赖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也就不能降低海运中东石油的运价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，B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能源生产结构多元化需发展其他能源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仅增加石油进口通道无法实现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，C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。​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答案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11．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C    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12．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A    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13．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A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详解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】11．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非洲南部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25°S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附近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西部沿海是热带沙漠气候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东部为热带草原气候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图文材料显示影像所在地年降水量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650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毫米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河流正值枯水期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由此可推测该地属于热带草原气候区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对应的自然地带为热带草原带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，C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热带雨林带位于热带雨林气候区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全年高温多雨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，A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亚热带常绿硬叶林带对应地中海气候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主要分布在南北半球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30°-40°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的大陆西岸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，B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亚热带常绿阔叶林带对应亚热带季风气候和亚热带湿润气候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年降水量通常大于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800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毫米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且图中森林分布较稀疏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推测是河流附近水源充足处的非地带性植被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，D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12．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结合图中指向标可知树影朝向西南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且影子较短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说明此时太阳位于东北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太阳高度角较大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太阳在东北方向时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当地时间处于正午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12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点之前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即上午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，BD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由上题可知该地为热带草原气候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河流正值枯水期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为南半球冬半年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太阳直射点在北半球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选项中符合条件的是当地时间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5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25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日上午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，A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，C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13．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影像所在地更多野生动物出现的时段应为当地雨季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此时水草丰美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该地是南半球热带草原气候区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夏季为雨季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选项中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2-3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月符合题意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，A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；6-7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月是当地旱季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，4-5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月大部分野生动物已向北迁徙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，8-9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月大部分野生动物尚未返回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，BCD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均不符合题意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答案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14．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C    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15．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B    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16．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D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详解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】14．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对比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1987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年和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2017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年的数据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该地季节性冻土区土壤含冰量在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7-9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丰水期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几乎没有变化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，12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月到次年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3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月降幅更大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，AB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多年冻土区土壤含冰量在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1-4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枯水期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降幅更大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，C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；2017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年多年冻土区活动层冻结时间约在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10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月底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比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1987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年的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 10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月初延后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，D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15．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多年冻土区河道迁移率增加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意味着河岸易受侵蚀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全球变暖使土壤含冰量降低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河岸抗蚀能力减弱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进而导致河道迁移率增加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，B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河岸含沙量变化对河道迁移影响不大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，A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图中显示多年冻土区河流流量季节变化差异不大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，D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河床高度降低体现下切侵蚀加剧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而河道迁移主要与侧蚀相关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，C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16．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季节性冻土区河道迁移率降低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说明河道不易变迁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河流裁弯取直频率减小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且图中河流流量未明显下降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，AB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多年冻土区河道迁移率增加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河道变迁明显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推测裁弯取直频率增大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同时图中河流流量整体增加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因全球变暖冻土融化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补给增多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），D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 xml:space="preserve">，C 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bookmarkStart w:id="0" w:name="_GoBack"/>
      <w:bookmarkEnd w:id="0"/>
    </w:p>
    <w:p>
      <w:pPr>
        <w:pStyle w:val="Normal78f56e90-7d11-4e06-b927-7801cb71c61e"/>
        <w:spacing w:line="320" w:lineRule="auto"/>
        <w:jc w:val="center"/>
        <w:textAlignment w:val="center"/>
        <w:rPr>
          <w:rFonts w:ascii="黑体" w:eastAsia="黑体" w:hAnsi="黑体" w:cs="黑体"/>
          <w:b/>
          <w:i w:val="0"/>
          <w:color w:val="000000"/>
          <w:sz w:val="30"/>
        </w:rPr>
      </w:pP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17．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答案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】（1）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该区域地处农牧过渡地带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大兴安岭以西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温带大陆性气候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冬季寒冷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牧草不足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降水变率大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干旱年份夏季产草少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冬季储草不足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大兴安岭以东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受冬季风影响较小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且农田闲置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秸秆和余草充足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提高农田利用率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充分利用秸秆和余草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增加收入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粪便补充土壤肥力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改善农田生态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详解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】（1）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结合材料信息可知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内蒙古东部牧区地处农牧交错带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距离东部农区较近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大兴安岭以西处于牧区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为温带大陆性气候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冬季寒冷干燥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草类干枯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草料匮乏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牲畜食物不足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农牧交错带降水不稳定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降水变率大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干旱年份水分条件差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夏季产草少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难以保证有多余的草储备供牲畜越冬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冬季储草不足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大兴安岭以东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受冬季风影响小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为农区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冬季为农田休耕区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农田闲置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秸秆和余草充足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牲畜可以啃食农田秸秆和杂草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顺利越冬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农区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冬季为农田休耕区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农田闲置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农田有杂草生长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供牲畜食用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提高了农田利用率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利用农田秸秆和杂草为牲畜提供饲料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充分利用秸秆和余草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农区的农民可以出租农田给牧民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增加收入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牲畜会产生粪便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粪便还田可以为土壤提供有机质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增加土壤肥力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改善农田生态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18．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答案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】（1）175-215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千米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偏西风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西北风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西南风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西风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台风西侧气流翻越中央山后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背风坡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地形抬升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水汽减少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(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气团干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)；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气流向东部沿海地区下沉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增温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(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快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)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或气温升高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气温升高后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湿度下降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减产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原因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水稻倒伏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折断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摧毁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破坏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）/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水稻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(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部分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)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脱水枯萎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详解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】（1）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在图中找到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2007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10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6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日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16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时台风中心的位置和台东的位置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测量两地的图上距离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根据图中的线段式比例尺估算两地的距离为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175-215km。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台风属于热带气旋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低压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），10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6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日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16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时台风中心的位置即为低压中心的位置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由此推测水平气压梯度力的方向由台东指向台风中心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根据北半球向右的地转偏向力可以推断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台东的风向为偏西风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西北风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西南风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地形可以改变水汽和热量的空间分布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台风中心的位置大致位于台湾岛东部沿海地区的东部海域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由此判断台湾岛东部沿海地区主要受偏西风影响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受到大致呈南北走向的中央山影响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台湾岛东部沿海地区位于西风的背风坡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西风气流自西向东运动过程中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在中央山西坡抬升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水汽凝结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消耗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使气流的水汽含量大幅度减少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到达东坡后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西风气流水汽含量较低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呈现较干的性质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出现低湿现象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在中央山的东坡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背风坡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西风气流下沉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增温效应显著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出现高温现象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气温过高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气温升高后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高温的气流进一步加剧湿度降低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导致高温低湿现象显著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结合材料及所学知识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此次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罗莎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台风过境带来大风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高温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低湿等天气影响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大风可能使水稻出现倒伏现象或摧毁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折断水稻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破坏水稻田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造成水稻损失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异常高温可能突破水稻的耐受能力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使水稻出现失水现象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另外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此时正处于水稻的抽穗开花期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高温和低湿可能导致水稻灌浆困难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导致水稻脱水枯萎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造成水稻减产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19．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答案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】（1）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冬夏季风交替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(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降水季节变化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）(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洪水期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枯水期变化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/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径流量量季节变化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)。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大小潮变化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(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朔望潮变化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)。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日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潮汐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(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水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)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涨落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凹岸侧河床多侵蚀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沉积厚度小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(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沉积少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)；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凸岸侧河床多沉积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沉积增厚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稻田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河间地沉积薄层泥沙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最高洪水位沉积薄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）(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河床沉积物最厚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)。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（3）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极端干旱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：(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当流量减小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)，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来沙量减少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河流沉积作用减弱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沉积面积减小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海岸侵蚀增强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泥沙径减小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极端洪涝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河道来沙量增多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稻田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河口沉积作用增强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沉积面积扩大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泥沙粒径增大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（4）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上游河流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区域湖泊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当地地表侵蚀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海洋波浪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潮汐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详解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】（1）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结合所学知识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不同泥沙沉积周期涉及的影响因素是不同的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体现不同的时间尺度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湄公河河口泥沙沉积收到河流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海洋等共同影响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其中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日变化周期主要受到潮汐的涨落带来的水位变化影响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体现潮汐的日变化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每天两次海水涨落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月变化周期表现为潮汐的月变化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以一个朔望月为周期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由于日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地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月三者的位置关系导致大潮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小潮的周期性变化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年变化主要表现为以一年为周期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当地属于热带季风气候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受到夏季风和冬季风的交替控制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出现旱雨两季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进而呈现明显的洪水期和枯水期交替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以此形成河流作用的年变化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同时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季风的转换带来沿海地区沿岸流的季节变化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影响泥沙沉积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结合材料及所学知识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乙地河床出现明显的侵蚀和堆积状况差异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其中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河床中凸岸附近水深较浅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以沉积作用为主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泥沙沉积厚度较大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而凹岸附近受侵蚀较深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泥沙沉积较弱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泥沙沉积厚度较小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河床位置较低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容易接受堆积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河床沉积物最厚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而最高洪水位附近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如稻田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河间地附近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由于地势较高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只有洪水期才会被淹没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接受堆积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因此沉积薄层泥沙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泥沙沉积厚度较小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结合材料及所学知识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极端干旱和洪涝对河流流量带来显著影响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进而影响泥沙沉积作用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当极端干旱时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降水量少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蒸发量大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河流的流量减小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导致上游来沙量减少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搬运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/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携沙能力减弱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泥沙来源减少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在三角洲附近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河流沉积作用减弱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沉积面积减少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河流的沉积作用减弱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海岸侵蚀作用加强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导致堆积地貌萎缩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泥沙粒径减小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当极端洪涝时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降水量和降水强度增加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河流的径流量迅速增加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导致河流来沙量增多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沙源增加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稻田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河口等地由于地势低平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沉积作用增强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沉积面积扩大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河流的沉积作用增强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海水侵蚀作用减弱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导致堆积地貌扩大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泥沙粒径增大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>
      <w:pPr>
        <w:pStyle w:val="Normal78f56e90-7d11-4e06-b927-7801cb71c61e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（4）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结合材料及所学知识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泥沙的来源一般包括本地泥沙和外来泥沙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从本地泥沙角度看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运河的泥沙可以来自运河流经地区的河流和湖泊及河岸崩塌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即区域湖泊和当地地表侵蚀物是该运河内沉积泥沙的来源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从外来泥沙来看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一方面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运河上游的湄公河及其支流可以为运河输送泥沙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另一方面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海洋的海浪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eastAsia="宋体" w:hAnsi="宋体" w:cs="宋体"/>
          <w:color w:val="000000"/>
          <w:sz w:val="21"/>
          <w:shd w:val="clear" w:color="auto" w:fill="auto"/>
          <w:vertAlign w:val="baseline"/>
        </w:rPr>
        <w:t>沿岸流及潮汐等海水运动可以向运河内输送一定的泥沙</w:t>
      </w:r>
      <w:r>
        <w:rPr>
          <w:rFonts w:ascii="Times New Roman" w:eastAsia="Times New Roman" w:hAnsi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sectPr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0" w:h="16840" w:orient="portrait"/>
      <w:pgMar w:top="998" w:right="1803" w:bottom="1202" w:left="1803" w:header="40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</w:pPr>
    <w:r>
      <w:t xml:space="preserve">第 </w:t>
    </w:r>
    <w:r>
      <w:fldChar w:fldCharType="begin"/>
    </w:r>
    <w:r>
      <w:instrText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</w:pPr>
    <w:r>
      <w:t xml:space="preserve">第 </w:t>
    </w:r>
    <w:r>
      <w:fldChar w:fldCharType="begin"/>
    </w:r>
    <w:r>
      <w:instrText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49" type="#_x0000_t136" style="width:7.66pt;height:2.18pt;margin-top:0;margin-left:0;mso-position-horizontal:center;mso-position-horizontal-relative:margin;mso-position-vertical:center;mso-position-vertical-relative:margin;position:absolute;z-index:251658240" o:allowincell="f" fillcolor="white" stroked="f">
          <v:fill opacity="0.5"/>
          <v:textpath style="font-family:'Times New Roman';font-size:2pt" string="试题资源网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width:7.66pt;height:2.18pt;margin-top:0;margin-left:0;mso-position-horizontal:center;mso-position-horizontal-relative:margin;mso-position-vertical:center;mso-position-vertical-relative:margin;position:absolute;z-index:251659264" o:allowincell="f" fillcolor="white" stroked="f">
          <v:fill opacity="0.5"/>
          <v:textpath style="font-family:'Times New Roman';font-size:2pt" string="试题资源网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51" type="#_x0000_t136" style="width:7.66pt;height:2.18pt;margin-top:0;margin-left:0;mso-position-horizontal:center;mso-position-horizontal-relative:margin;mso-position-vertical:center;mso-position-vertical-relative:margin;position:absolute;z-index:251660288" o:allowincell="f" fillcolor="white" stroked="f">
          <v:fill opacity="0.5"/>
          <v:textpath style="font-family:'Times New Roman';font-size:2pt" string="试题资源网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宋体" w:eastAsia="宋体" w:hAnsi="宋体" w:cs="宋体"/>
      <w:sz w:val="18"/>
      <w:szCs w:val="24"/>
      <w:lang w:val="en-US" w:eastAsia="uk-U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TitleStyle">
    <w:name w:val="subTitleStyle"/>
    <w:basedOn w:val="Normal"/>
    <w:qFormat/>
    <w:rPr>
      <w:rFonts w:ascii="宋体" w:eastAsia="宋体" w:hAnsi="宋体" w:cs="宋体"/>
      <w:b/>
      <w:color w:val="000000"/>
      <w:sz w:val="32"/>
    </w:rPr>
  </w:style>
  <w:style w:type="paragraph" w:customStyle="1" w:styleId="Normal78f56e90-7d11-4e06-b927-7801cb71c61e">
    <w:name w:val="Normal_78f56e90-7d11-4e06-b927-7801cb71c61e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customStyle="1" w:styleId="paraStyle">
    <w:name w:val="paraStyle"/>
    <w:basedOn w:val="Normal"/>
    <w:qFormat/>
    <w:rPr>
      <w:b/>
      <w:sz w:val="21"/>
    </w:rPr>
  </w:style>
  <w:style w:type="paragraph" w:customStyle="1" w:styleId="subTitleStyle114660ab-d4bb-4174-8832-48c32af8a8ab">
    <w:name w:val="subTitleStyle_114660ab-d4bb-4174-8832-48c32af8a8ab"/>
    <w:basedOn w:val="Normal78f56e90-7d11-4e06-b927-7801cb71c61e"/>
    <w:qFormat/>
    <w:rPr>
      <w:rFonts w:ascii="宋体" w:eastAsia="宋体" w:hAnsi="宋体" w:cs="宋体"/>
      <w:b/>
      <w:color w:val="000000"/>
      <w:sz w:val="32"/>
    </w:rPr>
  </w:style>
  <w:style w:type="table" w:styleId="TableGrid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png" /><Relationship Id="rId12" Type="http://schemas.openxmlformats.org/officeDocument/2006/relationships/header" Target="header1.xml" /><Relationship Id="rId13" Type="http://schemas.openxmlformats.org/officeDocument/2006/relationships/header" Target="header2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header" Target="header3.xm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jpe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Manager>试题资源</Manager>
  <Company>众望教育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试题资源网试卷</dc:title>
  <dc:subject>试题资源</dc:subject>
  <dc:creator>stzy.com</dc:creator>
  <cp:keywords>试题资源, 试卷,课件，题库，组卷，教案，教学资源，众望教育, 必刷题，必刷卷</cp:keywords>
  <dc:description>试题资源网 题好 卷好 备课好</dc:description>
  <cp:lastModifiedBy>试题资源网</cp:lastModifiedBy>
  <cp:revision>1</cp:revision>
  <dcterms:created xsi:type="dcterms:W3CDTF">2025-07-18T09:31:39Z</dcterms:created>
  <dcterms:modified xsi:type="dcterms:W3CDTF">2025-07-18T09:31:39Z</dcterms:modified>
  <cp:category>试题</cp:category>
</cp:coreProperties>
</file>