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2.xml" ContentType="application/xml"/>
  <Override PartName="/customXml/item3.xml" ContentType="application/xml"/>
  <Override PartName="/customXml/item4.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14:paraId="002D7618">
      <w:pPr>
        <w:jc w:val="center"/>
        <w:textAlignment w:val="center"/>
        <w:rPr>
          <w:rFonts w:ascii="宋体" w:eastAsia="宋体" w:hAnsi="宋体" w:cs="宋体"/>
          <w:b/>
          <w:i w:val="0"/>
          <w:color w:val="000000"/>
          <w:sz w:val="30"/>
        </w:rPr>
      </w:pPr>
      <w:r>
        <w:rPr>
          <w:rFonts w:ascii="宋体" w:eastAsia="宋体" w:hAnsi="宋体" w:cs="宋体" w:hint="eastAsia"/>
          <w:b/>
          <w:i w:val="0"/>
          <w:color w:val="000000"/>
          <w:sz w:val="30"/>
        </w:rPr>
        <w:t>202</w:t>
      </w:r>
      <w:r>
        <w:rPr>
          <w:rFonts w:ascii="宋体" w:hAnsi="宋体" w:cs="宋体" w:hint="eastAsia"/>
          <w:b/>
          <w:i w:val="0"/>
          <w:color w:val="000000"/>
          <w:sz w:val="30"/>
          <w:lang w:val="en-US" w:eastAsia="zh-CN"/>
        </w:rPr>
        <w:t>5</w:t>
      </w:r>
      <w:r>
        <w:rPr>
          <w:rFonts w:ascii="宋体" w:eastAsia="宋体" w:hAnsi="宋体" w:cs="宋体" w:hint="eastAsia"/>
          <w:b/>
          <w:i w:val="0"/>
          <w:color w:val="000000"/>
          <w:sz w:val="30"/>
        </w:rPr>
        <w:t>年6月普通高校招生选考科目考试(浙江卷)地理试题（解析版）</w:t>
      </w:r>
    </w:p>
    <w:p w14:paraId="0142A803">
      <w:pPr>
        <w:jc w:val="center"/>
        <w:textAlignment w:val="center"/>
        <w:rPr>
          <w:rFonts w:ascii="Calibri" w:eastAsia="Calibri" w:hAnsi="Calibri" w:cs="Calibri"/>
          <w:b w:val="0"/>
          <w:i w:val="0"/>
          <w:color w:val="000000"/>
          <w:sz w:val="21"/>
        </w:rPr>
      </w:pPr>
      <w:r>
        <w:rPr>
          <w:rFonts w:ascii="Calibri" w:eastAsia="Calibri" w:hAnsi="Calibri" w:cs="Calibri"/>
          <w:b w:val="0"/>
          <w:i w:val="0"/>
          <w:color w:val="000000"/>
          <w:sz w:val="21"/>
        </w:rPr>
        <w:t>学校:___________姓名：___________班级：___________考号：___________</w:t>
      </w:r>
    </w:p>
    <w:p w14:paraId="03846B09">
      <w:pPr>
        <w:jc w:val="center"/>
        <w:textAlignment w:val="center"/>
        <w:rPr>
          <w:rFonts w:ascii="黑体" w:eastAsia="黑体" w:hAnsi="黑体" w:cs="黑体"/>
          <w:b/>
          <w:i w:val="0"/>
          <w:color w:val="000000"/>
          <w:sz w:val="30"/>
        </w:rPr>
      </w:pPr>
    </w:p>
    <w:p w14:paraId="7FAE76EC">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14:paraId="47F7E1D2">
      <w:pPr>
        <w:shd w:val="clear" w:color="auto" w:fill="auto"/>
        <w:spacing w:line="360" w:lineRule="auto"/>
        <w:ind w:firstLine="560"/>
        <w:jc w:val="left"/>
        <w:textAlignment w:val="center"/>
      </w:pPr>
      <w:r>
        <w:rPr>
          <w:rFonts w:ascii="楷体" w:eastAsia="楷体" w:hAnsi="楷体" w:cs="楷体"/>
          <w:sz w:val="21"/>
        </w:rPr>
        <w:t>冷湖曾因石油资源枯竭陷入衰落，如今因赛什腾山上世界级天文观测基地（海拔</w:t>
      </w:r>
      <w:r>
        <w:rPr>
          <w:sz w:val="21"/>
        </w:rPr>
        <w:t>4200</w:t>
      </w:r>
      <w:r>
        <w:rPr>
          <w:rFonts w:ascii="楷体" w:eastAsia="楷体" w:hAnsi="楷体" w:cs="楷体"/>
          <w:sz w:val="21"/>
        </w:rPr>
        <w:t>米）的建设而备受瞩目，主题旅游蓬勃发展。下图为柴达木盆地局部简图。据此完成下面小题。</w:t>
      </w:r>
      <w:bookmarkStart w:id="0" w:name="_GoBack"/>
      <w:bookmarkEnd w:id="0"/>
    </w:p>
    <w:p w14:paraId="1DA4CA90">
      <w:pPr>
        <w:shd w:val="clear" w:color="auto" w:fill="auto"/>
        <w:spacing w:line="360" w:lineRule="auto"/>
        <w:jc w:val="left"/>
        <w:textAlignment w:val="center"/>
      </w:pPr>
      <w:r>
        <w:rPr>
          <w:rFonts w:ascii="Times New Roman" w:eastAsia="Times New Roman" w:hAnsi="Times New Roman" w:cs="Times New Roman"/>
          <w:strike w:val="0"/>
          <w:kern w:val="0"/>
          <w:sz w:val="24"/>
          <w:szCs w:val="24"/>
          <w:u w:val="none"/>
        </w:rPr>
        <w:drawing>
          <wp:inline distT="0" distB="0" distL="114300" distR="114300">
            <wp:extent cx="3295650" cy="1619250"/>
            <wp:effectExtent l="0" t="0" r="0" b="0"/>
            <wp:docPr id="8" name="_x0000_i1032" descr="@@@72db1418-4945-4601-8f52-c787b578a8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_x0000_i1032" descr="@@@72db1418-4945-4601-8f52-c787b578a85e"/>
                    <pic:cNvPicPr>
                      <a:picLocks noChangeAspect="1"/>
                    </pic:cNvPicPr>
                  </pic:nvPicPr>
                  <pic:blipFill>
                    <a:blip xmlns:r="http://schemas.openxmlformats.org/officeDocument/2006/relationships" r:embed="rId8"/>
                    <a:stretch>
                      <a:fillRect/>
                    </a:stretch>
                  </pic:blipFill>
                  <pic:spPr>
                    <a:xfrm>
                      <a:off x="0" y="0"/>
                      <a:ext cx="3295650" cy="1619250"/>
                    </a:xfrm>
                    <a:prstGeom prst="rect">
                      <a:avLst/>
                    </a:prstGeom>
                  </pic:spPr>
                </pic:pic>
              </a:graphicData>
            </a:graphic>
          </wp:inline>
        </w:drawing>
      </w:r>
    </w:p>
    <w:p w14:paraId="37DC674D">
      <w:pPr>
        <w:shd w:val="clear" w:color="auto" w:fill="auto"/>
        <w:spacing w:line="360" w:lineRule="auto"/>
        <w:jc w:val="left"/>
        <w:textAlignment w:val="center"/>
        <w:rPr>
          <w:sz w:val="21"/>
        </w:rPr>
      </w:pPr>
      <w:r>
        <w:rPr>
          <w:sz w:val="21"/>
        </w:rPr>
        <w:t>1．冷湖的重新兴起得益于（</w:t>
      </w:r>
      <w:r>
        <w:rPr>
          <w:rFonts w:ascii="Times New Roman" w:eastAsia="Times New Roman" w:hAnsi="Times New Roman" w:cs="Times New Roman"/>
          <w:kern w:val="0"/>
          <w:sz w:val="24"/>
          <w:szCs w:val="24"/>
        </w:rPr>
        <w:t>   </w:t>
      </w:r>
      <w:r>
        <w:rPr>
          <w:sz w:val="21"/>
        </w:rPr>
        <w:t>）</w:t>
      </w:r>
    </w:p>
    <w:p w14:paraId="5DAF0F4E">
      <w:pPr>
        <w:shd w:val="clear" w:color="auto" w:fill="auto"/>
        <w:tabs>
          <w:tab w:val="left" w:pos="4156"/>
        </w:tabs>
        <w:spacing w:line="360" w:lineRule="auto"/>
        <w:ind w:left="300"/>
        <w:jc w:val="left"/>
        <w:textAlignment w:val="center"/>
        <w:rPr>
          <w:sz w:val="21"/>
        </w:rPr>
      </w:pPr>
      <w:r>
        <w:rPr>
          <w:sz w:val="21"/>
        </w:rPr>
        <w:t>A．盐类资源丰富</w:t>
      </w:r>
      <w:r>
        <w:rPr>
          <w:sz w:val="21"/>
        </w:rPr>
        <w:tab/>
      </w:r>
      <w:r>
        <w:rPr>
          <w:sz w:val="21"/>
        </w:rPr>
        <w:t>B．自然环境独特</w:t>
      </w:r>
    </w:p>
    <w:p w14:paraId="70693DE4">
      <w:pPr>
        <w:shd w:val="clear" w:color="auto" w:fill="auto"/>
        <w:tabs>
          <w:tab w:val="left" w:pos="4156"/>
        </w:tabs>
        <w:spacing w:line="360" w:lineRule="auto"/>
        <w:ind w:left="300"/>
        <w:jc w:val="left"/>
        <w:textAlignment w:val="center"/>
        <w:rPr>
          <w:sz w:val="21"/>
        </w:rPr>
      </w:pPr>
      <w:r>
        <w:rPr>
          <w:sz w:val="21"/>
        </w:rPr>
        <w:t>C．文化底蕴深厚</w:t>
      </w:r>
      <w:r>
        <w:rPr>
          <w:sz w:val="21"/>
        </w:rPr>
        <w:tab/>
      </w:r>
      <w:r>
        <w:rPr>
          <w:sz w:val="21"/>
        </w:rPr>
        <w:t>D．人口大量集聚</w:t>
      </w:r>
    </w:p>
    <w:p w14:paraId="15AFBB1E">
      <w:pPr>
        <w:shd w:val="clear" w:color="auto" w:fill="auto"/>
        <w:spacing w:line="360" w:lineRule="auto"/>
        <w:jc w:val="left"/>
        <w:textAlignment w:val="center"/>
        <w:rPr>
          <w:sz w:val="21"/>
        </w:rPr>
      </w:pPr>
      <w:r>
        <w:rPr>
          <w:sz w:val="21"/>
        </w:rPr>
        <w:t>2．在冷湖可能被限制发展的旅游项目是（</w:t>
      </w:r>
      <w:r>
        <w:rPr>
          <w:rFonts w:ascii="Times New Roman" w:eastAsia="Times New Roman" w:hAnsi="Times New Roman" w:cs="Times New Roman"/>
          <w:kern w:val="0"/>
          <w:sz w:val="24"/>
          <w:szCs w:val="24"/>
        </w:rPr>
        <w:t>   </w:t>
      </w:r>
      <w:r>
        <w:rPr>
          <w:sz w:val="21"/>
        </w:rPr>
        <w:t>）</w:t>
      </w:r>
    </w:p>
    <w:p w14:paraId="4CA212AE">
      <w:pPr>
        <w:shd w:val="clear" w:color="auto" w:fill="auto"/>
        <w:tabs>
          <w:tab w:val="left" w:pos="2078"/>
          <w:tab w:val="left" w:pos="4156"/>
          <w:tab w:val="left" w:pos="6234"/>
        </w:tabs>
        <w:spacing w:line="360" w:lineRule="auto"/>
        <w:ind w:left="300"/>
        <w:jc w:val="left"/>
        <w:textAlignment w:val="center"/>
        <w:rPr>
          <w:sz w:val="21"/>
        </w:rPr>
      </w:pPr>
      <w:r>
        <w:rPr>
          <w:sz w:val="21"/>
        </w:rPr>
        <w:t>A．灯光秀</w:t>
      </w:r>
      <w:r>
        <w:rPr>
          <w:sz w:val="21"/>
        </w:rPr>
        <w:tab/>
      </w:r>
      <w:r>
        <w:rPr>
          <w:sz w:val="21"/>
        </w:rPr>
        <w:t>B．自然观光</w:t>
      </w:r>
      <w:r>
        <w:rPr>
          <w:sz w:val="21"/>
        </w:rPr>
        <w:tab/>
      </w:r>
      <w:r>
        <w:rPr>
          <w:sz w:val="21"/>
        </w:rPr>
        <w:t>C．科普研学</w:t>
      </w:r>
      <w:r>
        <w:rPr>
          <w:sz w:val="21"/>
        </w:rPr>
        <w:tab/>
      </w:r>
      <w:r>
        <w:rPr>
          <w:sz w:val="21"/>
        </w:rPr>
        <w:t>D．天文摄影</w:t>
      </w:r>
    </w:p>
    <w:p w14:paraId="7F9678A5">
      <w:pPr>
        <w:shd w:val="clear" w:color="auto" w:fill="auto"/>
        <w:tabs>
          <w:tab w:val="left" w:pos="2078"/>
          <w:tab w:val="left" w:pos="4156"/>
          <w:tab w:val="left" w:pos="6234"/>
        </w:tabs>
        <w:spacing w:line="360" w:lineRule="auto"/>
        <w:ind w:left="300"/>
        <w:jc w:val="left"/>
        <w:textAlignment w:val="center"/>
        <w:rPr>
          <w:sz w:val="21"/>
        </w:rPr>
      </w:pPr>
    </w:p>
    <w:p w14:paraId="0411FE74">
      <w:pPr>
        <w:shd w:val="clear" w:color="auto" w:fill="F2F2F2"/>
        <w:spacing w:line="360" w:lineRule="auto"/>
        <w:jc w:val="left"/>
        <w:textAlignment w:val="center"/>
        <w:rPr>
          <w:sz w:val="21"/>
        </w:rPr>
      </w:pPr>
      <w:r>
        <w:rPr>
          <w:sz w:val="21"/>
        </w:rPr>
        <w:t>【答案】1．B    2．A</w:t>
      </w:r>
    </w:p>
    <w:p w14:paraId="123CE5B2">
      <w:pPr>
        <w:shd w:val="clear" w:color="auto" w:fill="F2F2F2"/>
        <w:spacing w:line="360" w:lineRule="auto"/>
        <w:jc w:val="left"/>
        <w:textAlignment w:val="center"/>
        <w:rPr>
          <w:sz w:val="21"/>
        </w:rPr>
      </w:pPr>
      <w:r>
        <w:rPr>
          <w:sz w:val="21"/>
        </w:rPr>
        <w:t>【详解】1．</w:t>
      </w:r>
      <w:r>
        <w:rPr>
          <w:rFonts w:hint="eastAsia"/>
          <w:sz w:val="21"/>
        </w:rPr>
        <w:t>冷湖重新兴起的核心在于旅游发展，并非盐类资源开发，因此其兴起与盐类资源丰富无关，A 错误。赛什腾山海拔较高，大气稀薄，视宁度好，光污染少，具备开展天文观测的绝佳条件，随着世界级天文观测基地在此建立，吸引了大量游客与科研人员，其独特的自然环境成为推动冷湖重新兴起的关键因素，B 正确。冷湖如今的备受关注主要源于赛什腾山世界级天文观测基地的建设，与当地文化底蕴并无直接关联，C 错误。材料显示冷湖曾因石油资源枯竭陷入衰落，其重新兴起并非由于人口大量集聚，D 错误。</w:t>
      </w:r>
    </w:p>
    <w:p w14:paraId="44B869E9">
      <w:pPr>
        <w:shd w:val="clear" w:color="auto" w:fill="F2F2F2"/>
        <w:spacing w:line="360" w:lineRule="auto"/>
        <w:jc w:val="left"/>
        <w:textAlignment w:val="center"/>
        <w:rPr>
          <w:sz w:val="21"/>
        </w:rPr>
      </w:pPr>
      <w:r>
        <w:rPr>
          <w:sz w:val="21"/>
        </w:rPr>
        <w:t>2．</w:t>
      </w:r>
      <w:r>
        <w:rPr>
          <w:rFonts w:hint="eastAsia"/>
          <w:sz w:val="21"/>
        </w:rPr>
        <w:t>冷湖拥有世界级天文观测基地，而天文观测对环境暗黑程度要求极高。灯光秀会产生大量强光，严重干扰天文观测所需的黑暗环境，影响观测效果，所以可能被限制发展，A 符合题意。该地区依托世界级天文观测基地的独特资源，适合开展自然观光活动，让游客领略当地独特的自然风光；开展天文科普研学，向大众普及天文知识；进行天文摄影，捕捉星空美景，B、C、D 均不符合题意。</w:t>
      </w:r>
    </w:p>
    <w:p w14:paraId="4C00E671">
      <w:pPr>
        <w:shd w:val="clear" w:color="auto" w:fill="auto"/>
        <w:spacing w:line="360" w:lineRule="auto"/>
        <w:ind w:firstLine="560"/>
        <w:jc w:val="left"/>
        <w:textAlignment w:val="center"/>
        <w:rPr>
          <w:sz w:val="21"/>
        </w:rPr>
      </w:pPr>
      <w:r>
        <w:rPr>
          <w:rFonts w:ascii="楷体" w:eastAsia="楷体" w:hAnsi="楷体" w:cs="楷体"/>
          <w:sz w:val="21"/>
        </w:rPr>
        <w:t>随着全球化进程的加快和中国综合国力的不断提升，我国海外高层次人才回流现象日益显著。完成下面小题。</w:t>
      </w:r>
    </w:p>
    <w:p w14:paraId="00C4D961">
      <w:pPr>
        <w:shd w:val="clear" w:color="auto" w:fill="auto"/>
        <w:spacing w:line="360" w:lineRule="auto"/>
        <w:jc w:val="left"/>
        <w:textAlignment w:val="center"/>
        <w:rPr>
          <w:sz w:val="21"/>
        </w:rPr>
      </w:pPr>
      <w:r>
        <w:rPr>
          <w:sz w:val="21"/>
        </w:rPr>
        <w:t>3．我国海外高层次人才大多回流至直辖市或省会城市，主要影响因素是（</w:t>
      </w:r>
      <w:r>
        <w:rPr>
          <w:rFonts w:ascii="Times New Roman" w:eastAsia="Times New Roman" w:hAnsi="Times New Roman" w:cs="Times New Roman"/>
          <w:kern w:val="0"/>
          <w:sz w:val="24"/>
          <w:szCs w:val="24"/>
        </w:rPr>
        <w:t>   </w:t>
      </w:r>
      <w:r>
        <w:rPr>
          <w:sz w:val="21"/>
        </w:rPr>
        <w:t>）</w:t>
      </w:r>
    </w:p>
    <w:p w14:paraId="53388C01">
      <w:pPr>
        <w:shd w:val="clear" w:color="auto" w:fill="auto"/>
        <w:tabs>
          <w:tab w:val="left" w:pos="2078"/>
          <w:tab w:val="left" w:pos="4156"/>
          <w:tab w:val="left" w:pos="6234"/>
        </w:tabs>
        <w:spacing w:line="360" w:lineRule="auto"/>
        <w:ind w:left="300"/>
        <w:jc w:val="left"/>
        <w:textAlignment w:val="center"/>
        <w:rPr>
          <w:sz w:val="21"/>
        </w:rPr>
      </w:pPr>
      <w:r>
        <w:rPr>
          <w:sz w:val="21"/>
        </w:rPr>
        <w:t>A．事业发展</w:t>
      </w:r>
      <w:r>
        <w:rPr>
          <w:sz w:val="21"/>
        </w:rPr>
        <w:tab/>
      </w:r>
      <w:r>
        <w:rPr>
          <w:sz w:val="21"/>
        </w:rPr>
        <w:t>B．生活成本</w:t>
      </w:r>
      <w:r>
        <w:rPr>
          <w:sz w:val="21"/>
        </w:rPr>
        <w:tab/>
      </w:r>
      <w:r>
        <w:rPr>
          <w:sz w:val="21"/>
        </w:rPr>
        <w:t>C．交通设施</w:t>
      </w:r>
      <w:r>
        <w:rPr>
          <w:sz w:val="21"/>
        </w:rPr>
        <w:tab/>
      </w:r>
      <w:r>
        <w:rPr>
          <w:sz w:val="21"/>
        </w:rPr>
        <w:t>D．环境质量</w:t>
      </w:r>
    </w:p>
    <w:p w14:paraId="458F173F">
      <w:pPr>
        <w:shd w:val="clear" w:color="auto" w:fill="auto"/>
        <w:spacing w:line="360" w:lineRule="auto"/>
        <w:jc w:val="left"/>
        <w:textAlignment w:val="center"/>
        <w:rPr>
          <w:sz w:val="21"/>
        </w:rPr>
      </w:pPr>
      <w:r>
        <w:rPr>
          <w:sz w:val="21"/>
        </w:rPr>
        <w:t>4．海外高层次回流人才对所在城市产生的主要影响有（</w:t>
      </w:r>
      <w:r>
        <w:rPr>
          <w:rFonts w:ascii="Times New Roman" w:eastAsia="Times New Roman" w:hAnsi="Times New Roman" w:cs="Times New Roman"/>
          <w:kern w:val="0"/>
          <w:sz w:val="24"/>
          <w:szCs w:val="24"/>
        </w:rPr>
        <w:t>   </w:t>
      </w:r>
      <w:r>
        <w:rPr>
          <w:sz w:val="21"/>
        </w:rPr>
        <w:t>）</w:t>
      </w:r>
    </w:p>
    <w:p w14:paraId="5C5FF0A9">
      <w:pPr>
        <w:shd w:val="clear" w:color="auto" w:fill="auto"/>
        <w:spacing w:line="360" w:lineRule="auto"/>
        <w:jc w:val="left"/>
        <w:textAlignment w:val="center"/>
        <w:rPr>
          <w:sz w:val="21"/>
        </w:rPr>
      </w:pPr>
      <w:r>
        <w:rPr>
          <w:sz w:val="21"/>
        </w:rPr>
        <w:t>①改变人口年龄结构</w:t>
      </w:r>
      <w:r>
        <w:rPr>
          <w:rFonts w:ascii="Times New Roman" w:eastAsia="Times New Roman" w:hAnsi="Times New Roman" w:cs="Times New Roman"/>
          <w:kern w:val="0"/>
          <w:sz w:val="24"/>
          <w:szCs w:val="24"/>
        </w:rPr>
        <w:t>          </w:t>
      </w:r>
      <w:r>
        <w:rPr>
          <w:sz w:val="21"/>
        </w:rPr>
        <w:t>②提高政府办事效率</w:t>
      </w:r>
    </w:p>
    <w:p w14:paraId="7D197330">
      <w:pPr>
        <w:shd w:val="clear" w:color="auto" w:fill="auto"/>
        <w:spacing w:line="360" w:lineRule="auto"/>
        <w:jc w:val="left"/>
        <w:textAlignment w:val="center"/>
        <w:rPr>
          <w:sz w:val="21"/>
        </w:rPr>
      </w:pPr>
      <w:r>
        <w:rPr>
          <w:sz w:val="21"/>
        </w:rPr>
        <w:t>③提升城市创新实力</w:t>
      </w:r>
      <w:r>
        <w:rPr>
          <w:rFonts w:ascii="Times New Roman" w:eastAsia="Times New Roman" w:hAnsi="Times New Roman" w:cs="Times New Roman"/>
          <w:kern w:val="0"/>
          <w:sz w:val="24"/>
          <w:szCs w:val="24"/>
        </w:rPr>
        <w:t>          </w:t>
      </w:r>
      <w:r>
        <w:rPr>
          <w:sz w:val="21"/>
        </w:rPr>
        <w:t>④优化城市人才结构</w:t>
      </w:r>
    </w:p>
    <w:p w14:paraId="24428A9C">
      <w:pPr>
        <w:shd w:val="clear" w:color="auto" w:fill="auto"/>
        <w:tabs>
          <w:tab w:val="left" w:pos="2078"/>
          <w:tab w:val="left" w:pos="4156"/>
          <w:tab w:val="left" w:pos="6234"/>
        </w:tabs>
        <w:spacing w:line="360" w:lineRule="auto"/>
        <w:ind w:left="300"/>
        <w:jc w:val="left"/>
        <w:textAlignment w:val="center"/>
        <w:rPr>
          <w:sz w:val="21"/>
        </w:rPr>
      </w:pPr>
      <w:r>
        <w:rPr>
          <w:sz w:val="21"/>
        </w:rPr>
        <w:t>A．①②</w:t>
      </w:r>
      <w:r>
        <w:rPr>
          <w:sz w:val="21"/>
        </w:rPr>
        <w:tab/>
      </w:r>
      <w:r>
        <w:rPr>
          <w:sz w:val="21"/>
        </w:rPr>
        <w:t>B．①④</w:t>
      </w:r>
      <w:r>
        <w:rPr>
          <w:sz w:val="21"/>
        </w:rPr>
        <w:tab/>
      </w:r>
      <w:r>
        <w:rPr>
          <w:sz w:val="21"/>
        </w:rPr>
        <w:t>C．②③</w:t>
      </w:r>
      <w:r>
        <w:rPr>
          <w:sz w:val="21"/>
        </w:rPr>
        <w:tab/>
      </w:r>
      <w:r>
        <w:rPr>
          <w:sz w:val="21"/>
        </w:rPr>
        <w:t>D．③④</w:t>
      </w:r>
    </w:p>
    <w:p w14:paraId="31AABAAD">
      <w:pPr>
        <w:shd w:val="clear" w:color="auto" w:fill="auto"/>
        <w:tabs>
          <w:tab w:val="left" w:pos="2078"/>
          <w:tab w:val="left" w:pos="4156"/>
          <w:tab w:val="left" w:pos="6234"/>
        </w:tabs>
        <w:spacing w:line="360" w:lineRule="auto"/>
        <w:ind w:left="300"/>
        <w:jc w:val="left"/>
        <w:textAlignment w:val="center"/>
        <w:rPr>
          <w:sz w:val="21"/>
        </w:rPr>
      </w:pPr>
    </w:p>
    <w:p w14:paraId="23AE2204">
      <w:pPr>
        <w:shd w:val="clear" w:color="auto" w:fill="F2F2F2"/>
        <w:spacing w:line="360" w:lineRule="auto"/>
        <w:jc w:val="left"/>
        <w:textAlignment w:val="center"/>
        <w:rPr>
          <w:sz w:val="21"/>
        </w:rPr>
      </w:pPr>
      <w:r>
        <w:rPr>
          <w:sz w:val="21"/>
        </w:rPr>
        <w:t>【答案】3．A    4．D</w:t>
      </w:r>
    </w:p>
    <w:p w14:paraId="1870F487">
      <w:pPr>
        <w:shd w:val="clear" w:color="auto" w:fill="F2F2F2"/>
        <w:spacing w:line="360" w:lineRule="auto"/>
        <w:jc w:val="left"/>
        <w:textAlignment w:val="center"/>
        <w:rPr>
          <w:sz w:val="21"/>
        </w:rPr>
      </w:pPr>
      <w:r>
        <w:rPr>
          <w:sz w:val="21"/>
        </w:rPr>
        <w:t>【详解】3．</w:t>
      </w:r>
      <w:r>
        <w:rPr>
          <w:rFonts w:hint="eastAsia"/>
          <w:sz w:val="21"/>
        </w:rPr>
        <w:t>直辖市或省会城市凭借较高的城市等级，汇聚了众多优质企业、科研机构以及高校资源。这些丰富的资源能够为高层次人才搭建广阔且优质的事业发展平台，使其在职业发展、科研创新、学术交流等方面拥有更多机遇和空间，这是吸引他们的关键所在，A 正确。虽然直辖市或省会城市生活成本普遍较高，但对于高层次人才而言，事业发展机会和个人成长空间往往比生活成本更为重要，所以生活成本并非吸引他们的核心因素，B 错误。交通便利确实是城市发展的重要基础条件，但相较于丰富的发展资源和良好的事业平台，其对高层次人才的吸引力相对较弱，并非吸引人才的核心要素，C 错误。环境质量虽然会对人才选择产生一定影响，但并非决定性因素，而且部分直辖市和省会城市由于城市化进程较快，环境质量并非处于最优水平，D 错误。</w:t>
      </w:r>
    </w:p>
    <w:p w14:paraId="2463A2F7">
      <w:pPr>
        <w:shd w:val="clear" w:color="auto" w:fill="F2F2F2"/>
        <w:spacing w:line="360" w:lineRule="auto"/>
        <w:jc w:val="left"/>
        <w:textAlignment w:val="center"/>
        <w:rPr>
          <w:rFonts w:eastAsia="宋体" w:hint="eastAsia"/>
          <w:sz w:val="21"/>
          <w:lang w:eastAsia="zh-CN"/>
        </w:rPr>
      </w:pPr>
      <w:r>
        <w:rPr>
          <w:sz w:val="21"/>
        </w:rPr>
        <w:t>4．</w:t>
      </w:r>
      <w:r>
        <w:rPr>
          <w:rFonts w:hint="eastAsia"/>
          <w:sz w:val="21"/>
        </w:rPr>
        <w:t>回流人才虽多为青壮年群体，但在城市总人口中占比有限，难以从根本上改变城市整体的人口年龄结构，①错误。人才回流主要是受到城市发展机遇、事业平台等因素的吸引，与政府办事效率之间没有直接的因果联系，②错误。高层次人才具备先进的技术、丰富的知识和创新理念，他们的回流能够为城市注入新的创新活力，显著提升城市的创新能力，③正确。高层次人才的回归可以有效补充城市高端人才的缺口，改善人才队伍的层次分布，优化人才结构，为城市的高质量发展提供有力的人才支撑</w:t>
      </w:r>
      <w:r>
        <w:rPr>
          <w:rFonts w:hint="eastAsia"/>
          <w:sz w:val="21"/>
          <w:lang w:eastAsia="zh-CN"/>
        </w:rPr>
        <w:t>。</w:t>
      </w:r>
    </w:p>
    <w:p w14:paraId="3DF79BB9">
      <w:pPr>
        <w:shd w:val="clear" w:color="auto" w:fill="auto"/>
        <w:spacing w:line="360" w:lineRule="auto"/>
        <w:ind w:firstLine="560"/>
        <w:jc w:val="left"/>
        <w:textAlignment w:val="center"/>
        <w:rPr>
          <w:sz w:val="21"/>
        </w:rPr>
      </w:pPr>
      <w:r>
        <w:rPr>
          <w:rFonts w:ascii="楷体" w:eastAsia="楷体" w:hAnsi="楷体" w:cs="楷体"/>
          <w:sz w:val="21"/>
        </w:rPr>
        <w:t>榆林市位于鄂尔多斯高原毛乌素沙地南缘。下图为该城市中心城区时空演变图，图中黑色部分为建设用地。完成下面小题。</w:t>
      </w:r>
    </w:p>
    <w:p w14:paraId="7950ED56">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648200" cy="1790700"/>
            <wp:effectExtent l="0" t="0" r="0" b="0"/>
            <wp:docPr id="9" name="_x0000_i1033" descr="@@@9830af4768bc4c4c875c49ac6012ff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x0000_i1033" descr="@@@9830af4768bc4c4c875c49ac6012ffeb"/>
                    <pic:cNvPicPr>
                      <a:picLocks noChangeAspect="1"/>
                    </pic:cNvPicPr>
                  </pic:nvPicPr>
                  <pic:blipFill>
                    <a:blip xmlns:r="http://schemas.openxmlformats.org/officeDocument/2006/relationships" r:embed="rId9"/>
                    <a:stretch>
                      <a:fillRect/>
                    </a:stretch>
                  </pic:blipFill>
                  <pic:spPr>
                    <a:xfrm>
                      <a:off x="0" y="0"/>
                      <a:ext cx="4648200" cy="1790700"/>
                    </a:xfrm>
                    <a:prstGeom prst="rect">
                      <a:avLst/>
                    </a:prstGeom>
                  </pic:spPr>
                </pic:pic>
              </a:graphicData>
            </a:graphic>
          </wp:inline>
        </w:drawing>
      </w:r>
    </w:p>
    <w:p w14:paraId="4A9052E0">
      <w:pPr>
        <w:shd w:val="clear" w:color="auto" w:fill="auto"/>
        <w:spacing w:line="360" w:lineRule="auto"/>
        <w:jc w:val="left"/>
        <w:textAlignment w:val="center"/>
        <w:rPr>
          <w:sz w:val="21"/>
        </w:rPr>
      </w:pPr>
      <w:r>
        <w:rPr>
          <w:sz w:val="21"/>
        </w:rPr>
        <w:t>5．该城市中心城区扩张的主要制约因素是（</w:t>
      </w:r>
      <w:r>
        <w:rPr>
          <w:rFonts w:ascii="Times New Roman" w:eastAsia="Times New Roman" w:hAnsi="Times New Roman" w:cs="Times New Roman"/>
          <w:kern w:val="0"/>
          <w:sz w:val="24"/>
          <w:szCs w:val="24"/>
        </w:rPr>
        <w:t>   </w:t>
      </w:r>
      <w:r>
        <w:rPr>
          <w:sz w:val="21"/>
        </w:rPr>
        <w:t>）</w:t>
      </w:r>
    </w:p>
    <w:p w14:paraId="6EDADF2A">
      <w:pPr>
        <w:shd w:val="clear" w:color="auto" w:fill="auto"/>
        <w:tabs>
          <w:tab w:val="left" w:pos="2078"/>
          <w:tab w:val="left" w:pos="4156"/>
          <w:tab w:val="left" w:pos="6234"/>
        </w:tabs>
        <w:spacing w:line="360" w:lineRule="auto"/>
        <w:ind w:left="300"/>
        <w:jc w:val="left"/>
        <w:textAlignment w:val="center"/>
        <w:rPr>
          <w:sz w:val="21"/>
        </w:rPr>
      </w:pPr>
      <w:r>
        <w:rPr>
          <w:sz w:val="21"/>
        </w:rPr>
        <w:t>A．气候</w:t>
      </w:r>
      <w:r>
        <w:rPr>
          <w:sz w:val="21"/>
        </w:rPr>
        <w:tab/>
      </w:r>
      <w:r>
        <w:rPr>
          <w:sz w:val="21"/>
        </w:rPr>
        <w:t>B．水资源</w:t>
      </w:r>
      <w:r>
        <w:rPr>
          <w:sz w:val="21"/>
        </w:rPr>
        <w:tab/>
      </w:r>
      <w:r>
        <w:rPr>
          <w:sz w:val="21"/>
        </w:rPr>
        <w:t>C．矿产资源</w:t>
      </w:r>
      <w:r>
        <w:rPr>
          <w:sz w:val="21"/>
        </w:rPr>
        <w:tab/>
      </w:r>
      <w:r>
        <w:rPr>
          <w:sz w:val="21"/>
        </w:rPr>
        <w:t>D．交通条件</w:t>
      </w:r>
    </w:p>
    <w:p w14:paraId="258D1480">
      <w:pPr>
        <w:shd w:val="clear" w:color="auto" w:fill="auto"/>
        <w:spacing w:line="360" w:lineRule="auto"/>
        <w:jc w:val="left"/>
        <w:textAlignment w:val="center"/>
        <w:rPr>
          <w:sz w:val="21"/>
        </w:rPr>
      </w:pPr>
      <w:r>
        <w:rPr>
          <w:sz w:val="21"/>
        </w:rPr>
        <w:t>6．在水库管理过程中，可运用（</w:t>
      </w:r>
      <w:r>
        <w:rPr>
          <w:rFonts w:ascii="Times New Roman" w:eastAsia="Times New Roman" w:hAnsi="Times New Roman" w:cs="Times New Roman"/>
          <w:kern w:val="0"/>
          <w:sz w:val="24"/>
          <w:szCs w:val="24"/>
        </w:rPr>
        <w:t>   </w:t>
      </w:r>
      <w:r>
        <w:rPr>
          <w:sz w:val="21"/>
        </w:rPr>
        <w:t>）</w:t>
      </w:r>
    </w:p>
    <w:p w14:paraId="008555A3">
      <w:pPr>
        <w:shd w:val="clear" w:color="auto" w:fill="auto"/>
        <w:tabs>
          <w:tab w:val="left" w:pos="4156"/>
        </w:tabs>
        <w:spacing w:line="360" w:lineRule="auto"/>
        <w:ind w:left="300"/>
        <w:jc w:val="left"/>
        <w:textAlignment w:val="center"/>
        <w:rPr>
          <w:sz w:val="21"/>
        </w:rPr>
      </w:pPr>
      <w:r>
        <w:rPr>
          <w:sz w:val="21"/>
        </w:rPr>
        <w:t>A．全球定位系统测量水库蒸发量</w:t>
      </w:r>
      <w:r>
        <w:rPr>
          <w:sz w:val="21"/>
        </w:rPr>
        <w:tab/>
      </w:r>
      <w:r>
        <w:rPr>
          <w:sz w:val="21"/>
        </w:rPr>
        <w:t>B．遥感分析水库微生物含量</w:t>
      </w:r>
    </w:p>
    <w:p w14:paraId="18E59D5A">
      <w:pPr>
        <w:shd w:val="clear" w:color="auto" w:fill="auto"/>
        <w:tabs>
          <w:tab w:val="left" w:pos="4156"/>
        </w:tabs>
        <w:spacing w:line="360" w:lineRule="auto"/>
        <w:ind w:left="300"/>
        <w:jc w:val="left"/>
        <w:textAlignment w:val="center"/>
        <w:rPr>
          <w:sz w:val="21"/>
        </w:rPr>
      </w:pPr>
      <w:r>
        <w:rPr>
          <w:sz w:val="21"/>
        </w:rPr>
        <w:t>C．北斗卫星导航系统获取水库容量</w:t>
      </w:r>
      <w:r>
        <w:rPr>
          <w:sz w:val="21"/>
        </w:rPr>
        <w:tab/>
      </w:r>
      <w:r>
        <w:rPr>
          <w:sz w:val="21"/>
        </w:rPr>
        <w:t>D．地理信息系统评估水库水质</w:t>
      </w:r>
    </w:p>
    <w:p w14:paraId="2AFAD4D3">
      <w:pPr>
        <w:shd w:val="clear" w:color="auto" w:fill="auto"/>
        <w:tabs>
          <w:tab w:val="left" w:pos="4156"/>
        </w:tabs>
        <w:spacing w:line="360" w:lineRule="auto"/>
        <w:ind w:left="300"/>
        <w:jc w:val="left"/>
        <w:textAlignment w:val="center"/>
        <w:rPr>
          <w:sz w:val="21"/>
        </w:rPr>
      </w:pPr>
    </w:p>
    <w:p w14:paraId="3A780577">
      <w:pPr>
        <w:shd w:val="clear" w:color="auto" w:fill="F2F2F2"/>
        <w:spacing w:line="360" w:lineRule="auto"/>
        <w:jc w:val="left"/>
        <w:textAlignment w:val="center"/>
        <w:rPr>
          <w:sz w:val="21"/>
        </w:rPr>
      </w:pPr>
      <w:r>
        <w:rPr>
          <w:sz w:val="21"/>
        </w:rPr>
        <w:t>【答案】5．B    6．D</w:t>
      </w:r>
    </w:p>
    <w:p w14:paraId="6033EBED">
      <w:pPr>
        <w:shd w:val="clear" w:color="auto" w:fill="F2F2F2"/>
        <w:spacing w:line="360" w:lineRule="auto"/>
        <w:jc w:val="left"/>
        <w:textAlignment w:val="center"/>
        <w:rPr>
          <w:sz w:val="21"/>
        </w:rPr>
      </w:pPr>
      <w:r>
        <w:rPr>
          <w:sz w:val="21"/>
        </w:rPr>
        <w:t>【详解】5．</w:t>
      </w:r>
      <w:r>
        <w:rPr>
          <w:rFonts w:hint="eastAsia"/>
          <w:sz w:val="21"/>
        </w:rPr>
        <w:t>榆林市地处鄂尔多斯高原毛乌素沙地南缘，从区域地理环境来看，水资源并非十分充裕。通过观察地图能够发现，榆林市的建设用地显著呈现出沿榆溪河分布的态势。这表明水资源对城市发展起到了关键的限制作用，是中心城区扩张的主要制约因素 ，B 正确。图中并没有任何信息能够体现出气候、矿产资源以及交通条件对该城市中心城区扩张存在影响，A、C、D 错误。</w:t>
      </w:r>
    </w:p>
    <w:p w14:paraId="2AB57967">
      <w:pPr>
        <w:shd w:val="clear" w:color="auto" w:fill="F2F2F2"/>
        <w:spacing w:line="360" w:lineRule="auto"/>
        <w:jc w:val="left"/>
        <w:textAlignment w:val="center"/>
        <w:rPr>
          <w:sz w:val="21"/>
        </w:rPr>
      </w:pPr>
      <w:r>
        <w:rPr>
          <w:sz w:val="21"/>
        </w:rPr>
        <w:t>6．</w:t>
      </w:r>
      <w:r>
        <w:rPr>
          <w:rFonts w:hint="eastAsia"/>
          <w:sz w:val="21"/>
        </w:rPr>
        <w:t>全球定位系统（GPS）和北斗卫星导航系统的核心功能在于定位与导航，它们无法直接用于测量水库蒸发量，也不能获取水库容量相关数据，A、C 错误；遥感技术主要用于大范围、快速获取地理信息，侧重于地理信息的采集，难以对水库微生物含量进行分析，B 错误；地理信息系统能够对地理信息进行深入分析与处理，通过整合各类数据，包括水质监测数据、地理环境数据等，可以科学地评估水库水质状况，D 正确。</w:t>
      </w:r>
    </w:p>
    <w:p w14:paraId="35909486">
      <w:pPr>
        <w:shd w:val="clear" w:color="auto" w:fill="auto"/>
        <w:spacing w:line="360" w:lineRule="auto"/>
        <w:ind w:firstLine="560"/>
        <w:jc w:val="left"/>
        <w:textAlignment w:val="center"/>
        <w:rPr>
          <w:sz w:val="21"/>
        </w:rPr>
      </w:pPr>
      <w:r>
        <w:rPr>
          <w:rFonts w:ascii="楷体" w:eastAsia="楷体" w:hAnsi="楷体" w:cs="楷体"/>
          <w:sz w:val="21"/>
        </w:rPr>
        <w:t>由于锂等矿产资源紧缺，我国动力电池龙头企业采取与国内外企业合资等方式布局产业链，实现生产自主、可控。下图为动力电池产业链示意图。完成下面小题。</w:t>
      </w:r>
    </w:p>
    <w:p w14:paraId="7DF8FB6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90825" cy="1143000"/>
            <wp:effectExtent l="0" t="0" r="9525" b="0"/>
            <wp:docPr id="10" name="_x0000_i1034" descr="@@@ba9c7386-9470-4f07-adb4-071797be5f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_x0000_i1034" descr="@@@ba9c7386-9470-4f07-adb4-071797be5fe1"/>
                    <pic:cNvPicPr>
                      <a:picLocks noChangeAspect="1"/>
                    </pic:cNvPicPr>
                  </pic:nvPicPr>
                  <pic:blipFill>
                    <a:blip xmlns:r="http://schemas.openxmlformats.org/officeDocument/2006/relationships" r:embed="rId10"/>
                    <a:stretch>
                      <a:fillRect/>
                    </a:stretch>
                  </pic:blipFill>
                  <pic:spPr>
                    <a:xfrm>
                      <a:off x="0" y="0"/>
                      <a:ext cx="2790825" cy="1143000"/>
                    </a:xfrm>
                    <a:prstGeom prst="rect">
                      <a:avLst/>
                    </a:prstGeom>
                  </pic:spPr>
                </pic:pic>
              </a:graphicData>
            </a:graphic>
          </wp:inline>
        </w:drawing>
      </w:r>
    </w:p>
    <w:p w14:paraId="039DB1B4">
      <w:pPr>
        <w:shd w:val="clear" w:color="auto" w:fill="auto"/>
        <w:spacing w:line="360" w:lineRule="auto"/>
        <w:jc w:val="left"/>
        <w:textAlignment w:val="center"/>
        <w:rPr>
          <w:sz w:val="21"/>
        </w:rPr>
      </w:pPr>
      <w:r>
        <w:rPr>
          <w:sz w:val="21"/>
        </w:rPr>
        <w:t>7．我国动力电池龙头企业产业链布局的主要目的是（</w:t>
      </w:r>
      <w:r>
        <w:rPr>
          <w:rFonts w:ascii="Times New Roman" w:eastAsia="Times New Roman" w:hAnsi="Times New Roman" w:cs="Times New Roman"/>
          <w:kern w:val="0"/>
          <w:sz w:val="24"/>
          <w:szCs w:val="24"/>
        </w:rPr>
        <w:t>   </w:t>
      </w:r>
      <w:r>
        <w:rPr>
          <w:sz w:val="21"/>
        </w:rPr>
        <w:t>）</w:t>
      </w:r>
    </w:p>
    <w:p w14:paraId="6538B96E">
      <w:pPr>
        <w:shd w:val="clear" w:color="auto" w:fill="auto"/>
        <w:tabs>
          <w:tab w:val="left" w:pos="4156"/>
        </w:tabs>
        <w:spacing w:line="360" w:lineRule="auto"/>
        <w:ind w:left="300"/>
        <w:jc w:val="left"/>
        <w:textAlignment w:val="center"/>
        <w:rPr>
          <w:sz w:val="21"/>
        </w:rPr>
      </w:pPr>
      <w:r>
        <w:rPr>
          <w:sz w:val="21"/>
        </w:rPr>
        <w:t>A．降低矿产原料运费</w:t>
      </w:r>
      <w:r>
        <w:rPr>
          <w:sz w:val="21"/>
        </w:rPr>
        <w:tab/>
      </w:r>
      <w:r>
        <w:rPr>
          <w:sz w:val="21"/>
        </w:rPr>
        <w:t>B．推动产品多样化</w:t>
      </w:r>
    </w:p>
    <w:p w14:paraId="06FC2A06">
      <w:pPr>
        <w:shd w:val="clear" w:color="auto" w:fill="auto"/>
        <w:tabs>
          <w:tab w:val="left" w:pos="4156"/>
        </w:tabs>
        <w:spacing w:line="360" w:lineRule="auto"/>
        <w:ind w:left="300"/>
        <w:jc w:val="left"/>
        <w:textAlignment w:val="center"/>
        <w:rPr>
          <w:sz w:val="21"/>
        </w:rPr>
      </w:pPr>
      <w:r>
        <w:rPr>
          <w:sz w:val="21"/>
        </w:rPr>
        <w:t>C．扩大电池生产规模</w:t>
      </w:r>
      <w:r>
        <w:rPr>
          <w:sz w:val="21"/>
        </w:rPr>
        <w:tab/>
      </w:r>
      <w:r>
        <w:rPr>
          <w:sz w:val="21"/>
        </w:rPr>
        <w:t>D．保障供应链安全</w:t>
      </w:r>
    </w:p>
    <w:p w14:paraId="70DDB5F9">
      <w:pPr>
        <w:shd w:val="clear" w:color="auto" w:fill="auto"/>
        <w:spacing w:line="360" w:lineRule="auto"/>
        <w:jc w:val="left"/>
        <w:textAlignment w:val="center"/>
        <w:rPr>
          <w:sz w:val="21"/>
        </w:rPr>
      </w:pPr>
      <w:r>
        <w:rPr>
          <w:sz w:val="21"/>
        </w:rPr>
        <w:t>8．针对矿产资源供给问题，还可采取的措施有（</w:t>
      </w:r>
      <w:r>
        <w:rPr>
          <w:rFonts w:ascii="Times New Roman" w:eastAsia="Times New Roman" w:hAnsi="Times New Roman" w:cs="Times New Roman"/>
          <w:kern w:val="0"/>
          <w:sz w:val="24"/>
          <w:szCs w:val="24"/>
        </w:rPr>
        <w:t>   </w:t>
      </w:r>
      <w:r>
        <w:rPr>
          <w:sz w:val="21"/>
        </w:rPr>
        <w:t>）</w:t>
      </w:r>
    </w:p>
    <w:p w14:paraId="7421B0A4">
      <w:pPr>
        <w:shd w:val="clear" w:color="auto" w:fill="auto"/>
        <w:spacing w:line="360" w:lineRule="auto"/>
        <w:jc w:val="left"/>
        <w:textAlignment w:val="center"/>
        <w:rPr>
          <w:sz w:val="21"/>
        </w:rPr>
      </w:pPr>
      <w:r>
        <w:rPr>
          <w:sz w:val="21"/>
        </w:rPr>
        <w:t>①加强国内锂矿勘探</w:t>
      </w:r>
      <w:r>
        <w:rPr>
          <w:rFonts w:ascii="Times New Roman" w:eastAsia="Times New Roman" w:hAnsi="Times New Roman" w:cs="Times New Roman"/>
          <w:kern w:val="0"/>
          <w:sz w:val="24"/>
          <w:szCs w:val="24"/>
        </w:rPr>
        <w:t>         </w:t>
      </w:r>
      <w:r>
        <w:rPr>
          <w:sz w:val="21"/>
        </w:rPr>
        <w:t>②加大关键材料生产</w:t>
      </w:r>
    </w:p>
    <w:p w14:paraId="338940F1">
      <w:pPr>
        <w:shd w:val="clear" w:color="auto" w:fill="auto"/>
        <w:spacing w:line="360" w:lineRule="auto"/>
        <w:jc w:val="left"/>
        <w:textAlignment w:val="center"/>
        <w:rPr>
          <w:sz w:val="21"/>
        </w:rPr>
      </w:pPr>
      <w:r>
        <w:rPr>
          <w:sz w:val="21"/>
        </w:rPr>
        <w:t>③研发新的替代材料</w:t>
      </w:r>
      <w:r>
        <w:rPr>
          <w:rFonts w:ascii="Times New Roman" w:eastAsia="Times New Roman" w:hAnsi="Times New Roman" w:cs="Times New Roman"/>
          <w:kern w:val="0"/>
          <w:sz w:val="24"/>
          <w:szCs w:val="24"/>
        </w:rPr>
        <w:t>         </w:t>
      </w:r>
      <w:r>
        <w:rPr>
          <w:sz w:val="21"/>
        </w:rPr>
        <w:t>④鼓励废旧电池进口</w:t>
      </w:r>
    </w:p>
    <w:p w14:paraId="520F70E3">
      <w:pPr>
        <w:shd w:val="clear" w:color="auto" w:fill="auto"/>
        <w:tabs>
          <w:tab w:val="left" w:pos="2078"/>
          <w:tab w:val="left" w:pos="4156"/>
          <w:tab w:val="left" w:pos="6234"/>
        </w:tabs>
        <w:spacing w:line="360" w:lineRule="auto"/>
        <w:ind w:left="300"/>
        <w:jc w:val="left"/>
        <w:textAlignment w:val="center"/>
        <w:rPr>
          <w:sz w:val="21"/>
        </w:rPr>
      </w:pPr>
      <w:r>
        <w:rPr>
          <w:sz w:val="21"/>
        </w:rPr>
        <w:t>A．①④</w:t>
      </w:r>
      <w:r>
        <w:rPr>
          <w:sz w:val="21"/>
        </w:rPr>
        <w:tab/>
      </w:r>
      <w:r>
        <w:rPr>
          <w:sz w:val="21"/>
        </w:rPr>
        <w:t>B．②④</w:t>
      </w:r>
      <w:r>
        <w:rPr>
          <w:sz w:val="21"/>
        </w:rPr>
        <w:tab/>
      </w:r>
      <w:r>
        <w:rPr>
          <w:sz w:val="21"/>
        </w:rPr>
        <w:t>C．①③</w:t>
      </w:r>
      <w:r>
        <w:rPr>
          <w:sz w:val="21"/>
        </w:rPr>
        <w:tab/>
      </w:r>
      <w:r>
        <w:rPr>
          <w:sz w:val="21"/>
        </w:rPr>
        <w:t>D．②③</w:t>
      </w:r>
    </w:p>
    <w:p w14:paraId="17897DFC">
      <w:pPr>
        <w:shd w:val="clear" w:color="auto" w:fill="auto"/>
        <w:tabs>
          <w:tab w:val="left" w:pos="2078"/>
          <w:tab w:val="left" w:pos="4156"/>
          <w:tab w:val="left" w:pos="6234"/>
        </w:tabs>
        <w:spacing w:line="360" w:lineRule="auto"/>
        <w:ind w:left="300"/>
        <w:jc w:val="left"/>
        <w:textAlignment w:val="center"/>
        <w:rPr>
          <w:sz w:val="21"/>
        </w:rPr>
      </w:pPr>
    </w:p>
    <w:p w14:paraId="595B541E">
      <w:pPr>
        <w:shd w:val="clear" w:color="auto" w:fill="F2F2F2"/>
        <w:spacing w:line="360" w:lineRule="auto"/>
        <w:jc w:val="left"/>
        <w:textAlignment w:val="center"/>
        <w:rPr>
          <w:sz w:val="21"/>
        </w:rPr>
      </w:pPr>
      <w:r>
        <w:rPr>
          <w:sz w:val="21"/>
        </w:rPr>
        <w:t>【答案】7．D    8．C</w:t>
      </w:r>
    </w:p>
    <w:p w14:paraId="45F1F8DC">
      <w:pPr>
        <w:shd w:val="clear" w:color="auto" w:fill="F2F2F2"/>
        <w:spacing w:line="360" w:lineRule="auto"/>
        <w:jc w:val="left"/>
        <w:textAlignment w:val="center"/>
        <w:rPr>
          <w:sz w:val="21"/>
        </w:rPr>
      </w:pPr>
      <w:r>
        <w:rPr>
          <w:sz w:val="21"/>
        </w:rPr>
        <w:t>【详解】7．</w:t>
      </w:r>
      <w:r>
        <w:rPr>
          <w:rFonts w:hint="eastAsia"/>
          <w:sz w:val="21"/>
        </w:rPr>
        <w:t>当下锂等矿产资源供应紧张，严重影响锂矿资源的稳定供应。为保障供应链安全，我国动力电池龙头企业选择与国内外企业合资等方式布局产业链 。这一举措旨在实现生产的自主可控，降低对外依赖，确保产业稳定发展，D 正确。原料运费主要取决于运输距离、运输方式等因素，产业链布局并未直接改变这些条件，无法降低矿产原料运费，A 错误。产品多样化依赖于市场需求导向和生产技术创新，产业链布局侧重于保障资源供应和生产环节衔接，并非直接推动产品多样化的关键，B 错误。电池生产规模受市场需求、下游制造企业产能等影响，产业链布局涵盖上下游多个环节，其核心目的是保障供应链安全，而非单纯扩大生产规模，C 错误。</w:t>
      </w:r>
    </w:p>
    <w:p w14:paraId="5D90CFD9">
      <w:pPr>
        <w:shd w:val="clear" w:color="auto" w:fill="F2F2F2"/>
        <w:spacing w:line="360" w:lineRule="auto"/>
        <w:jc w:val="left"/>
        <w:textAlignment w:val="center"/>
        <w:rPr>
          <w:sz w:val="21"/>
        </w:rPr>
      </w:pPr>
      <w:r>
        <w:rPr>
          <w:sz w:val="21"/>
        </w:rPr>
        <w:t>8．</w:t>
      </w:r>
      <w:r>
        <w:rPr>
          <w:rFonts w:hint="eastAsia"/>
          <w:sz w:val="21"/>
        </w:rPr>
        <w:t>面对锂矿资源紧缺问题，加强国内锂矿勘探，能够增加国内锂矿资源储备和供应，缓解对外依存度，①正确；加大关键材料生产会进一步增加对锂矿资源的消耗，加剧资源供应紧张状况，无法缓解供给问题，②错误；研发新的替代材料，可减少对锂矿等矿产资源的依赖，有效缓解资源供应紧张局面，③正确；废旧电池回收利用过程中若处理不当会造成严重环境污染，鼓励废旧电池进口可能加剧国内环境负担，并非合理的缓解资源供给措施，④错误。综上，C 正确，A、B、D 错误。</w:t>
      </w:r>
    </w:p>
    <w:p w14:paraId="69F2B272">
      <w:pPr>
        <w:shd w:val="clear" w:color="auto" w:fill="auto"/>
        <w:spacing w:line="360" w:lineRule="auto"/>
        <w:ind w:firstLine="560"/>
        <w:jc w:val="left"/>
        <w:textAlignment w:val="center"/>
        <w:rPr>
          <w:sz w:val="21"/>
        </w:rPr>
      </w:pPr>
      <w:r>
        <w:rPr>
          <w:rFonts w:ascii="楷体" w:eastAsia="楷体" w:hAnsi="楷体" w:cs="楷体"/>
          <w:sz w:val="21"/>
        </w:rPr>
        <w:t>土壤水是土壤的重要组成部分。墒指土壤适合种子发芽和作物生长的湿度。下图为土壤-植被-大气的水分运移过程模式图。完成下面小题。</w:t>
      </w:r>
    </w:p>
    <w:p w14:paraId="7F3F75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24200" cy="1666875"/>
            <wp:effectExtent l="0" t="0" r="0" b="0"/>
            <wp:docPr id="11" name="_x0000_i1035" descr="@@@ff30c0915ebb4b04a1e08fdce336a5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_x0000_i1035" descr="@@@ff30c0915ebb4b04a1e08fdce336a5e6"/>
                    <pic:cNvPicPr>
                      <a:picLocks noChangeAspect="1"/>
                    </pic:cNvPicPr>
                  </pic:nvPicPr>
                  <pic:blipFill>
                    <a:blip xmlns:r="http://schemas.openxmlformats.org/officeDocument/2006/relationships" r:embed="rId11"/>
                    <a:stretch>
                      <a:fillRect/>
                    </a:stretch>
                  </pic:blipFill>
                  <pic:spPr>
                    <a:xfrm>
                      <a:off x="0" y="0"/>
                      <a:ext cx="3124200" cy="1666875"/>
                    </a:xfrm>
                    <a:prstGeom prst="rect">
                      <a:avLst/>
                    </a:prstGeom>
                  </pic:spPr>
                </pic:pic>
              </a:graphicData>
            </a:graphic>
          </wp:inline>
        </w:drawing>
      </w:r>
    </w:p>
    <w:p w14:paraId="10E6BF9D">
      <w:pPr>
        <w:shd w:val="clear" w:color="auto" w:fill="auto"/>
        <w:spacing w:line="360" w:lineRule="auto"/>
        <w:jc w:val="left"/>
        <w:textAlignment w:val="center"/>
        <w:rPr>
          <w:sz w:val="21"/>
        </w:rPr>
      </w:pPr>
      <w:r>
        <w:rPr>
          <w:sz w:val="21"/>
        </w:rPr>
        <w:t>9．与图中排水环节相关度最大的因素为（</w:t>
      </w:r>
      <w:r>
        <w:rPr>
          <w:rFonts w:ascii="Times New Roman" w:eastAsia="Times New Roman" w:hAnsi="Times New Roman" w:cs="Times New Roman"/>
          <w:kern w:val="0"/>
          <w:sz w:val="24"/>
          <w:szCs w:val="24"/>
        </w:rPr>
        <w:t>   </w:t>
      </w:r>
      <w:r>
        <w:rPr>
          <w:sz w:val="21"/>
        </w:rPr>
        <w:t>）</w:t>
      </w:r>
    </w:p>
    <w:p w14:paraId="5470F247">
      <w:pPr>
        <w:shd w:val="clear" w:color="auto" w:fill="auto"/>
        <w:tabs>
          <w:tab w:val="left" w:pos="4156"/>
        </w:tabs>
        <w:spacing w:line="360" w:lineRule="auto"/>
        <w:ind w:left="300"/>
        <w:jc w:val="left"/>
        <w:textAlignment w:val="center"/>
        <w:rPr>
          <w:sz w:val="21"/>
        </w:rPr>
      </w:pPr>
      <w:r>
        <w:rPr>
          <w:sz w:val="21"/>
        </w:rPr>
        <w:t>A．土壤矿物质含量</w:t>
      </w:r>
      <w:r>
        <w:rPr>
          <w:sz w:val="21"/>
        </w:rPr>
        <w:tab/>
      </w:r>
      <w:r>
        <w:rPr>
          <w:sz w:val="21"/>
        </w:rPr>
        <w:t>B．土壤质地</w:t>
      </w:r>
    </w:p>
    <w:p w14:paraId="576F2689">
      <w:pPr>
        <w:shd w:val="clear" w:color="auto" w:fill="auto"/>
        <w:tabs>
          <w:tab w:val="left" w:pos="4156"/>
        </w:tabs>
        <w:spacing w:line="360" w:lineRule="auto"/>
        <w:ind w:left="300"/>
        <w:jc w:val="left"/>
        <w:textAlignment w:val="center"/>
        <w:rPr>
          <w:sz w:val="21"/>
        </w:rPr>
      </w:pPr>
      <w:r>
        <w:rPr>
          <w:sz w:val="21"/>
        </w:rPr>
        <w:t>C．土壤有机质含量</w:t>
      </w:r>
      <w:r>
        <w:rPr>
          <w:sz w:val="21"/>
        </w:rPr>
        <w:tab/>
      </w:r>
      <w:r>
        <w:rPr>
          <w:sz w:val="21"/>
        </w:rPr>
        <w:t>D．土壤温度</w:t>
      </w:r>
    </w:p>
    <w:p w14:paraId="391F9B9C">
      <w:pPr>
        <w:shd w:val="clear" w:color="auto" w:fill="auto"/>
        <w:spacing w:line="360" w:lineRule="auto"/>
        <w:jc w:val="left"/>
        <w:textAlignment w:val="center"/>
        <w:rPr>
          <w:sz w:val="21"/>
        </w:rPr>
      </w:pPr>
      <w:r>
        <w:rPr>
          <w:sz w:val="21"/>
        </w:rPr>
        <w:t>10．图中表土蒸发份额为（</w:t>
      </w:r>
      <w:r>
        <w:rPr>
          <w:rFonts w:ascii="Times New Roman" w:eastAsia="Times New Roman" w:hAnsi="Times New Roman" w:cs="Times New Roman"/>
          <w:kern w:val="0"/>
          <w:sz w:val="24"/>
          <w:szCs w:val="24"/>
        </w:rPr>
        <w:t>   </w:t>
      </w:r>
      <w:r>
        <w:rPr>
          <w:sz w:val="21"/>
        </w:rPr>
        <w:t>）</w:t>
      </w:r>
    </w:p>
    <w:p w14:paraId="4319EA08">
      <w:pPr>
        <w:shd w:val="clear" w:color="auto" w:fill="auto"/>
        <w:tabs>
          <w:tab w:val="left" w:pos="2078"/>
          <w:tab w:val="left" w:pos="4156"/>
          <w:tab w:val="left" w:pos="6234"/>
        </w:tabs>
        <w:spacing w:line="360" w:lineRule="auto"/>
        <w:ind w:left="380"/>
        <w:jc w:val="left"/>
        <w:textAlignment w:val="center"/>
        <w:rPr>
          <w:sz w:val="21"/>
        </w:rPr>
      </w:pPr>
      <w:r>
        <w:rPr>
          <w:sz w:val="21"/>
        </w:rPr>
        <w:t>A．10%-30%</w:t>
      </w:r>
      <w:r>
        <w:rPr>
          <w:sz w:val="21"/>
        </w:rPr>
        <w:tab/>
      </w:r>
      <w:r>
        <w:rPr>
          <w:sz w:val="21"/>
        </w:rPr>
        <w:t>B．15%-30%</w:t>
      </w:r>
      <w:r>
        <w:rPr>
          <w:sz w:val="21"/>
        </w:rPr>
        <w:tab/>
      </w:r>
      <w:r>
        <w:rPr>
          <w:sz w:val="21"/>
        </w:rPr>
        <w:t>C．15%-40%</w:t>
      </w:r>
      <w:r>
        <w:rPr>
          <w:sz w:val="21"/>
        </w:rPr>
        <w:tab/>
      </w:r>
      <w:r>
        <w:rPr>
          <w:sz w:val="21"/>
        </w:rPr>
        <w:t>D．25%-60%</w:t>
      </w:r>
    </w:p>
    <w:p w14:paraId="5EC9A008">
      <w:pPr>
        <w:shd w:val="clear" w:color="auto" w:fill="auto"/>
        <w:spacing w:line="360" w:lineRule="auto"/>
        <w:jc w:val="left"/>
        <w:textAlignment w:val="center"/>
        <w:rPr>
          <w:sz w:val="21"/>
        </w:rPr>
      </w:pPr>
      <w:r>
        <w:rPr>
          <w:sz w:val="21"/>
        </w:rPr>
        <w:t>11．当墒情过低时，可采取的保墒措施是（</w:t>
      </w:r>
      <w:r>
        <w:rPr>
          <w:rFonts w:ascii="Times New Roman" w:eastAsia="Times New Roman" w:hAnsi="Times New Roman" w:cs="Times New Roman"/>
          <w:kern w:val="0"/>
          <w:sz w:val="24"/>
          <w:szCs w:val="24"/>
        </w:rPr>
        <w:t>   </w:t>
      </w:r>
      <w:r>
        <w:rPr>
          <w:sz w:val="21"/>
        </w:rPr>
        <w:t>）</w:t>
      </w:r>
    </w:p>
    <w:p w14:paraId="3C484F37">
      <w:pPr>
        <w:shd w:val="clear" w:color="auto" w:fill="auto"/>
        <w:tabs>
          <w:tab w:val="left" w:pos="2078"/>
          <w:tab w:val="left" w:pos="4156"/>
          <w:tab w:val="left" w:pos="6234"/>
        </w:tabs>
        <w:spacing w:line="360" w:lineRule="auto"/>
        <w:ind w:left="380"/>
        <w:jc w:val="left"/>
        <w:textAlignment w:val="center"/>
        <w:rPr>
          <w:sz w:val="21"/>
        </w:rPr>
      </w:pPr>
      <w:r>
        <w:rPr>
          <w:sz w:val="21"/>
        </w:rPr>
        <w:t>A．地膜覆盖</w:t>
      </w:r>
      <w:r>
        <w:rPr>
          <w:sz w:val="21"/>
        </w:rPr>
        <w:tab/>
      </w:r>
      <w:r>
        <w:rPr>
          <w:sz w:val="21"/>
        </w:rPr>
        <w:t>B．作物密植</w:t>
      </w:r>
      <w:r>
        <w:rPr>
          <w:sz w:val="21"/>
        </w:rPr>
        <w:tab/>
      </w:r>
      <w:r>
        <w:rPr>
          <w:sz w:val="21"/>
        </w:rPr>
        <w:t>C．开沟排水</w:t>
      </w:r>
      <w:r>
        <w:rPr>
          <w:sz w:val="21"/>
        </w:rPr>
        <w:tab/>
      </w:r>
      <w:r>
        <w:rPr>
          <w:sz w:val="21"/>
        </w:rPr>
        <w:t>D．土地翻耕</w:t>
      </w:r>
    </w:p>
    <w:p w14:paraId="7455A637">
      <w:pPr>
        <w:shd w:val="clear" w:color="auto" w:fill="auto"/>
        <w:tabs>
          <w:tab w:val="left" w:pos="2078"/>
          <w:tab w:val="left" w:pos="4156"/>
          <w:tab w:val="left" w:pos="6234"/>
        </w:tabs>
        <w:spacing w:line="360" w:lineRule="auto"/>
        <w:ind w:left="380"/>
        <w:jc w:val="left"/>
        <w:textAlignment w:val="center"/>
        <w:rPr>
          <w:sz w:val="21"/>
        </w:rPr>
      </w:pPr>
    </w:p>
    <w:p w14:paraId="0C821685">
      <w:pPr>
        <w:shd w:val="clear" w:color="auto" w:fill="F2F2F2"/>
        <w:spacing w:line="360" w:lineRule="auto"/>
        <w:jc w:val="left"/>
        <w:textAlignment w:val="center"/>
        <w:rPr>
          <w:sz w:val="21"/>
        </w:rPr>
      </w:pPr>
      <w:r>
        <w:rPr>
          <w:sz w:val="21"/>
        </w:rPr>
        <w:t>【答案】9．B    10．C    11．A</w:t>
      </w:r>
    </w:p>
    <w:p w14:paraId="74951A33">
      <w:pPr>
        <w:shd w:val="clear" w:color="auto" w:fill="F2F2F2"/>
        <w:spacing w:line="360" w:lineRule="auto"/>
        <w:jc w:val="left"/>
        <w:textAlignment w:val="center"/>
        <w:rPr>
          <w:sz w:val="21"/>
        </w:rPr>
      </w:pPr>
      <w:r>
        <w:rPr>
          <w:sz w:val="21"/>
        </w:rPr>
        <w:t>【详解】9．</w:t>
      </w:r>
      <w:r>
        <w:rPr>
          <w:rFonts w:hint="eastAsia"/>
          <w:sz w:val="21"/>
        </w:rPr>
        <w:t>从图中可知，排水环节是下渗后未被表土蒸发和蒸腾作用消耗的水体后续运动过程，主要通过进一步下渗和地下径流完成。而土壤质地决定了土壤孔隙大小和连通性，直接影响土壤透水性，进而对地下水的运动起着关键作用 。因此，土壤质地是与图中排水环节相关度最大的因素，B 正确。土壤矿物质含量和有机质含量主要影响土壤肥力，与排水环节中水体的运动关联不大，A、C 错误。图中显示水体在地下运移，说明不存在冻土对水体运动的阻隔，所以土壤温度对该环节水体运动影响较小，D 错误。</w:t>
      </w:r>
    </w:p>
    <w:p w14:paraId="1543D235">
      <w:pPr>
        <w:shd w:val="clear" w:color="auto" w:fill="F2F2F2"/>
        <w:spacing w:line="360" w:lineRule="auto"/>
        <w:jc w:val="left"/>
        <w:textAlignment w:val="center"/>
        <w:rPr>
          <w:sz w:val="21"/>
        </w:rPr>
      </w:pPr>
      <w:r>
        <w:rPr>
          <w:sz w:val="21"/>
        </w:rPr>
        <w:t>10．</w:t>
      </w:r>
      <w:r>
        <w:rPr>
          <w:rFonts w:hint="eastAsia"/>
          <w:sz w:val="21"/>
        </w:rPr>
        <w:t>根据图中数据计算表土蒸发份额，将相关数据进行运算：表土蒸发份额 =（30% - 65%）＋（0% - 10%）－（15% - 35%），通过计算可得其结果为 15% - 40%，C 正确，A、B、D 错误。</w:t>
      </w:r>
    </w:p>
    <w:p w14:paraId="76A82597">
      <w:pPr>
        <w:shd w:val="clear" w:color="auto" w:fill="F2F2F2"/>
        <w:spacing w:line="360" w:lineRule="auto"/>
        <w:jc w:val="left"/>
        <w:textAlignment w:val="center"/>
        <w:rPr>
          <w:sz w:val="21"/>
        </w:rPr>
      </w:pPr>
      <w:r>
        <w:rPr>
          <w:sz w:val="21"/>
        </w:rPr>
        <w:t>11．</w:t>
      </w:r>
      <w:r>
        <w:rPr>
          <w:rFonts w:hint="eastAsia"/>
          <w:sz w:val="21"/>
        </w:rPr>
        <w:t>当墒情过低时，意味着土壤水分含量不足，无法满足种子发芽和作物生长的适度需求。地膜覆盖能够在土壤表面形成一层阻隔层，有效减少土壤水分蒸发到大气中，从而起到保墒的作用，A 正确。作物密植会增加单位面积内作物数量，加大对土壤水分的消耗，使原本不足的墒情进一步降低，B 错误。开沟排水会加速土壤中水分的流失，导致土壤含水量下降，墒情更低，C 错误。土地翻耕虽然能改善土壤结构，但会使土质变得更疏松，增加土壤与空气的接触面积，导致土壤水分蒸发速度加快，无法实现保墒目的，D 错误。</w:t>
      </w:r>
    </w:p>
    <w:p w14:paraId="1805B770">
      <w:pPr>
        <w:shd w:val="clear" w:color="auto" w:fill="auto"/>
        <w:spacing w:line="360" w:lineRule="auto"/>
        <w:jc w:val="left"/>
        <w:textAlignment w:val="center"/>
        <w:rPr>
          <w:sz w:val="21"/>
        </w:rPr>
      </w:pPr>
      <w:r>
        <w:rPr>
          <w:sz w:val="21"/>
        </w:rPr>
        <w:t>12．其他条件相同情况下，在青藏高原四地观测太阳辐射与海拔高度之间的关系，结果如下表。完成问题。</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889"/>
        <w:gridCol w:w="713"/>
        <w:gridCol w:w="713"/>
        <w:gridCol w:w="713"/>
        <w:gridCol w:w="713"/>
      </w:tblGrid>
      <w:tr w14:paraId="1F0644AB">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333D96CD">
            <w:pPr>
              <w:shd w:val="clear" w:color="auto" w:fill="auto"/>
              <w:spacing w:line="360" w:lineRule="auto"/>
              <w:jc w:val="left"/>
              <w:textAlignment w:val="center"/>
              <w:rPr>
                <w:sz w:val="21"/>
              </w:rPr>
            </w:pPr>
            <w:r>
              <w:rPr>
                <w:sz w:val="21"/>
              </w:rPr>
              <w:t>地点</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5BFA5815">
            <w:pPr>
              <w:shd w:val="clear" w:color="auto" w:fill="auto"/>
              <w:spacing w:line="360" w:lineRule="auto"/>
              <w:jc w:val="left"/>
              <w:textAlignment w:val="center"/>
              <w:rPr>
                <w:sz w:val="21"/>
              </w:rPr>
            </w:pPr>
            <w:r>
              <w:rPr>
                <w:sz w:val="21"/>
              </w:rPr>
              <w:t>①</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22E7BB17">
            <w:pPr>
              <w:shd w:val="clear" w:color="auto" w:fill="auto"/>
              <w:spacing w:line="360" w:lineRule="auto"/>
              <w:jc w:val="left"/>
              <w:textAlignment w:val="center"/>
              <w:rPr>
                <w:sz w:val="21"/>
              </w:rPr>
            </w:pPr>
            <w:r>
              <w:rPr>
                <w:sz w:val="21"/>
              </w:rPr>
              <w:t>②</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6B378285">
            <w:pPr>
              <w:shd w:val="clear" w:color="auto" w:fill="auto"/>
              <w:spacing w:line="360" w:lineRule="auto"/>
              <w:jc w:val="left"/>
              <w:textAlignment w:val="center"/>
              <w:rPr>
                <w:sz w:val="21"/>
              </w:rPr>
            </w:pPr>
            <w:r>
              <w:rPr>
                <w:sz w:val="21"/>
              </w:rPr>
              <w:t>③</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09933FD1">
            <w:pPr>
              <w:shd w:val="clear" w:color="auto" w:fill="auto"/>
              <w:spacing w:line="360" w:lineRule="auto"/>
              <w:jc w:val="left"/>
              <w:textAlignment w:val="center"/>
              <w:rPr>
                <w:sz w:val="21"/>
              </w:rPr>
            </w:pPr>
            <w:r>
              <w:rPr>
                <w:sz w:val="21"/>
              </w:rPr>
              <w:t>④</w:t>
            </w:r>
          </w:p>
        </w:tc>
      </w:tr>
      <w:tr w14:paraId="76E7DD38">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3229A138">
            <w:pPr>
              <w:shd w:val="clear" w:color="auto" w:fill="auto"/>
              <w:spacing w:line="360" w:lineRule="auto"/>
              <w:jc w:val="left"/>
              <w:textAlignment w:val="center"/>
              <w:rPr>
                <w:sz w:val="21"/>
              </w:rPr>
            </w:pPr>
            <w:r>
              <w:rPr>
                <w:sz w:val="21"/>
              </w:rPr>
              <w:t>海拔高度（米）</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0B691965">
            <w:pPr>
              <w:shd w:val="clear" w:color="auto" w:fill="auto"/>
              <w:spacing w:line="360" w:lineRule="auto"/>
              <w:jc w:val="left"/>
              <w:textAlignment w:val="center"/>
              <w:rPr>
                <w:sz w:val="21"/>
              </w:rPr>
            </w:pPr>
            <w:r>
              <w:rPr>
                <w:sz w:val="21"/>
              </w:rPr>
              <w:t>2200</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3868F6F3">
            <w:pPr>
              <w:shd w:val="clear" w:color="auto" w:fill="auto"/>
              <w:spacing w:line="360" w:lineRule="auto"/>
              <w:jc w:val="left"/>
              <w:textAlignment w:val="center"/>
              <w:rPr>
                <w:sz w:val="21"/>
              </w:rPr>
            </w:pPr>
            <w:r>
              <w:rPr>
                <w:sz w:val="21"/>
              </w:rPr>
              <w:t>3700</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505782BA">
            <w:pPr>
              <w:shd w:val="clear" w:color="auto" w:fill="auto"/>
              <w:spacing w:line="360" w:lineRule="auto"/>
              <w:jc w:val="left"/>
              <w:textAlignment w:val="center"/>
              <w:rPr>
                <w:sz w:val="21"/>
              </w:rPr>
            </w:pPr>
            <w:r>
              <w:rPr>
                <w:sz w:val="21"/>
              </w:rPr>
              <w:t>5000</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44090297">
            <w:pPr>
              <w:shd w:val="clear" w:color="auto" w:fill="auto"/>
              <w:spacing w:line="360" w:lineRule="auto"/>
              <w:jc w:val="left"/>
              <w:textAlignment w:val="center"/>
              <w:rPr>
                <w:sz w:val="21"/>
              </w:rPr>
            </w:pPr>
            <w:r>
              <w:rPr>
                <w:sz w:val="21"/>
              </w:rPr>
              <w:t>6325</w:t>
            </w:r>
          </w:p>
        </w:tc>
      </w:tr>
      <w:tr w14:paraId="7485F040">
        <w:tblPrEx>
          <w:tblW w:w="0" w:type="auto"/>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5DA3628A">
            <w:pPr>
              <w:shd w:val="clear" w:color="auto" w:fill="auto"/>
              <w:spacing w:line="360" w:lineRule="auto"/>
              <w:jc w:val="left"/>
              <w:textAlignment w:val="center"/>
              <w:rPr>
                <w:sz w:val="21"/>
              </w:rPr>
            </w:pPr>
            <w:r>
              <w:rPr>
                <w:sz w:val="21"/>
              </w:rPr>
              <w:t>太阳辐射（卡/平方厘米·分）</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4AF28965">
            <w:pPr>
              <w:shd w:val="clear" w:color="auto" w:fill="auto"/>
              <w:spacing w:line="360" w:lineRule="auto"/>
              <w:jc w:val="left"/>
              <w:textAlignment w:val="center"/>
              <w:rPr>
                <w:sz w:val="21"/>
              </w:rPr>
            </w:pPr>
            <w:r>
              <w:rPr>
                <w:sz w:val="21"/>
              </w:rPr>
              <w:t>1.318</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5F051FCE">
            <w:pPr>
              <w:shd w:val="clear" w:color="auto" w:fill="auto"/>
              <w:spacing w:line="360" w:lineRule="auto"/>
              <w:jc w:val="left"/>
              <w:textAlignment w:val="center"/>
              <w:rPr>
                <w:sz w:val="21"/>
              </w:rPr>
            </w:pPr>
            <w:r>
              <w:rPr>
                <w:sz w:val="21"/>
              </w:rPr>
              <w:t>1.455</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3A09300C">
            <w:pPr>
              <w:shd w:val="clear" w:color="auto" w:fill="auto"/>
              <w:spacing w:line="360" w:lineRule="auto"/>
              <w:jc w:val="left"/>
              <w:textAlignment w:val="center"/>
              <w:rPr>
                <w:sz w:val="21"/>
              </w:rPr>
            </w:pPr>
            <w:r>
              <w:rPr>
                <w:sz w:val="21"/>
              </w:rPr>
              <w:t>1.632</w:t>
            </w:r>
          </w:p>
        </w:tc>
        <w:tc>
          <w:tcPr>
            <w:tcBorders>
              <w:top w:val="single" w:sz="6" w:space="0" w:color="000000"/>
              <w:left w:val="single" w:sz="6" w:space="0" w:color="000000"/>
              <w:bottom w:val="single" w:sz="6" w:space="0" w:color="000000"/>
              <w:right w:val="single" w:sz="6" w:space="0" w:color="000000"/>
            </w:tcBorders>
            <w:noWrap w:val="0"/>
            <w:tcMar>
              <w:top w:w="75" w:type="dxa"/>
              <w:left w:w="120" w:type="dxa"/>
              <w:bottom w:w="75" w:type="dxa"/>
              <w:right w:w="120" w:type="dxa"/>
            </w:tcMar>
            <w:vAlign w:val="center"/>
          </w:tcPr>
          <w:p w14:paraId="4434FBD5">
            <w:pPr>
              <w:shd w:val="clear" w:color="auto" w:fill="auto"/>
              <w:spacing w:line="360" w:lineRule="auto"/>
              <w:jc w:val="left"/>
              <w:textAlignment w:val="center"/>
              <w:rPr>
                <w:sz w:val="21"/>
              </w:rPr>
            </w:pPr>
            <w:r>
              <w:rPr>
                <w:sz w:val="21"/>
              </w:rPr>
              <w:t>1.729</w:t>
            </w:r>
          </w:p>
        </w:tc>
      </w:tr>
    </w:tbl>
    <w:p w14:paraId="7BDEE634">
      <w:pPr>
        <w:shd w:val="clear" w:color="auto" w:fill="auto"/>
        <w:spacing w:line="360" w:lineRule="auto"/>
        <w:jc w:val="left"/>
        <w:textAlignment w:val="center"/>
        <w:rPr>
          <w:sz w:val="21"/>
        </w:rPr>
      </w:pPr>
      <w:r>
        <w:rPr>
          <w:sz w:val="21"/>
        </w:rPr>
        <w:t>导致四地太阳辐射随海拔高度产生差异的主要因素是（</w:t>
      </w:r>
      <w:r>
        <w:rPr>
          <w:rFonts w:ascii="Times New Roman" w:eastAsia="Times New Roman" w:hAnsi="Times New Roman" w:cs="Times New Roman"/>
          <w:kern w:val="0"/>
          <w:sz w:val="24"/>
          <w:szCs w:val="24"/>
        </w:rPr>
        <w:t>   </w:t>
      </w:r>
      <w:r>
        <w:rPr>
          <w:sz w:val="21"/>
        </w:rPr>
        <w:t>）</w:t>
      </w:r>
    </w:p>
    <w:p w14:paraId="24DE02E7">
      <w:pPr>
        <w:shd w:val="clear" w:color="auto" w:fill="auto"/>
        <w:tabs>
          <w:tab w:val="left" w:pos="4156"/>
        </w:tabs>
        <w:spacing w:line="360" w:lineRule="auto"/>
        <w:ind w:left="380"/>
        <w:jc w:val="left"/>
        <w:textAlignment w:val="center"/>
        <w:rPr>
          <w:sz w:val="21"/>
        </w:rPr>
      </w:pPr>
      <w:r>
        <w:rPr>
          <w:sz w:val="21"/>
        </w:rPr>
        <w:t>A．大气逆辐射</w:t>
      </w:r>
      <w:r>
        <w:rPr>
          <w:sz w:val="21"/>
        </w:rPr>
        <w:tab/>
      </w:r>
      <w:r>
        <w:rPr>
          <w:sz w:val="21"/>
        </w:rPr>
        <w:t>B．地面反射与吸收</w:t>
      </w:r>
    </w:p>
    <w:p w14:paraId="41231726">
      <w:pPr>
        <w:shd w:val="clear" w:color="auto" w:fill="auto"/>
        <w:tabs>
          <w:tab w:val="left" w:pos="4156"/>
        </w:tabs>
        <w:spacing w:line="360" w:lineRule="auto"/>
        <w:ind w:left="380"/>
        <w:jc w:val="left"/>
        <w:textAlignment w:val="center"/>
        <w:rPr>
          <w:sz w:val="21"/>
        </w:rPr>
      </w:pPr>
      <w:r>
        <w:rPr>
          <w:sz w:val="21"/>
        </w:rPr>
        <w:t>C．地面长波辐射</w:t>
      </w:r>
      <w:r>
        <w:rPr>
          <w:sz w:val="21"/>
        </w:rPr>
        <w:tab/>
      </w:r>
      <w:r>
        <w:rPr>
          <w:sz w:val="21"/>
        </w:rPr>
        <w:t>D．大气反射、吸收与散射</w:t>
      </w:r>
    </w:p>
    <w:p w14:paraId="02208775">
      <w:pPr>
        <w:shd w:val="clear" w:color="auto" w:fill="F2F2F2"/>
        <w:spacing w:line="360" w:lineRule="auto"/>
        <w:jc w:val="left"/>
        <w:textAlignment w:val="center"/>
        <w:rPr>
          <w:sz w:val="21"/>
        </w:rPr>
      </w:pPr>
      <w:r>
        <w:rPr>
          <w:sz w:val="21"/>
        </w:rPr>
        <w:t>【答案】D</w:t>
      </w:r>
    </w:p>
    <w:p w14:paraId="5C4A81D5">
      <w:pPr>
        <w:shd w:val="clear" w:color="auto" w:fill="F2F2F2"/>
        <w:spacing w:line="360" w:lineRule="auto"/>
        <w:jc w:val="left"/>
        <w:textAlignment w:val="center"/>
        <w:rPr>
          <w:sz w:val="21"/>
        </w:rPr>
      </w:pPr>
      <w:r>
        <w:rPr>
          <w:sz w:val="21"/>
        </w:rPr>
        <w:t>【详解】</w:t>
      </w:r>
      <w:r>
        <w:rPr>
          <w:rFonts w:hint="eastAsia"/>
          <w:sz w:val="21"/>
        </w:rPr>
        <w:t>太阳辐射到达地面的强度受多种因素影响，在本题中，大气逆辐射属于长波辐射，其主要作用是通过保温效应减少地面热量散失，与属于短波辐射的太阳辐射到达地面的强度没有直接关联，所以 A 选项错误。题目明确设定 “其他条件相同”，这意味着地面反射与吸收情况差异不大，并且海拔变化主要作用于大气环境，而非直接影响地面的反射和吸收特性，因此 B 选项不符合题意。地面长波辐射是地面将吸收的能量向外辐射的过程，主要涉及地面的能量支出，与太阳辐射的接收没有直接联系，故 C 选项错误。随着海拔升高，大气变得更加稀薄，大气对太阳辐射的反射、吸收和散射等削弱作用都会减弱，使得更多的太阳辐射能够穿透大气层到达地面，所以 D 选项正确。</w:t>
      </w:r>
    </w:p>
    <w:p w14:paraId="5F2EF8C9">
      <w:pPr>
        <w:shd w:val="clear" w:color="auto" w:fill="auto"/>
        <w:spacing w:line="360" w:lineRule="auto"/>
        <w:ind w:firstLine="560"/>
        <w:jc w:val="left"/>
        <w:textAlignment w:val="center"/>
        <w:rPr>
          <w:sz w:val="21"/>
        </w:rPr>
      </w:pPr>
      <w:r>
        <w:rPr>
          <w:rFonts w:ascii="楷体" w:eastAsia="楷体" w:hAnsi="楷体" w:cs="楷体"/>
          <w:sz w:val="21"/>
        </w:rPr>
        <w:t>坐落于地堑谷地一侧的某山脉是开展地理研学活动的理想场所。某学校组织学生从山脚下的</w:t>
      </w:r>
      <w:r>
        <w:rPr>
          <w:sz w:val="21"/>
        </w:rPr>
        <w:t>P</w:t>
      </w:r>
      <w:r>
        <w:rPr>
          <w:rFonts w:ascii="楷体" w:eastAsia="楷体" w:hAnsi="楷体" w:cs="楷体"/>
          <w:sz w:val="21"/>
        </w:rPr>
        <w:t>地（</w:t>
      </w:r>
      <w:r>
        <w:rPr>
          <w:sz w:val="21"/>
        </w:rPr>
        <w:t>34</w:t>
      </w:r>
      <w:r>
        <w:rPr>
          <w:rFonts w:ascii="楷体" w:eastAsia="楷体" w:hAnsi="楷体" w:cs="楷体"/>
          <w:sz w:val="21"/>
        </w:rPr>
        <w:t>°</w:t>
      </w:r>
      <w:r>
        <w:rPr>
          <w:sz w:val="21"/>
        </w:rPr>
        <w:t>8'20"N</w:t>
      </w:r>
      <w:r>
        <w:rPr>
          <w:rFonts w:ascii="楷体" w:eastAsia="楷体" w:hAnsi="楷体" w:cs="楷体"/>
          <w:sz w:val="21"/>
        </w:rPr>
        <w:t>，</w:t>
      </w:r>
      <w:r>
        <w:rPr>
          <w:sz w:val="21"/>
        </w:rPr>
        <w:t>107</w:t>
      </w:r>
      <w:r>
        <w:rPr>
          <w:rFonts w:ascii="楷体" w:eastAsia="楷体" w:hAnsi="楷体" w:cs="楷体"/>
          <w:sz w:val="21"/>
        </w:rPr>
        <w:t>°</w:t>
      </w:r>
      <w:r>
        <w:rPr>
          <w:sz w:val="21"/>
        </w:rPr>
        <w:t>52'53"E</w:t>
      </w:r>
      <w:r>
        <w:rPr>
          <w:rFonts w:ascii="楷体" w:eastAsia="楷体" w:hAnsi="楷体" w:cs="楷体"/>
          <w:sz w:val="21"/>
        </w:rPr>
        <w:t>）登山开展考察。下图为学生绘制的山地垂直自然带简图。完成下面小题。</w:t>
      </w:r>
    </w:p>
    <w:p w14:paraId="714147B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600200" cy="1800225"/>
            <wp:effectExtent l="0" t="0" r="0" b="0"/>
            <wp:docPr id="12" name="_x0000_i1036" descr="@@@866ef1e467034fa58bf8657665d11b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_x0000_i1036" descr="@@@866ef1e467034fa58bf8657665d11bb4"/>
                    <pic:cNvPicPr>
                      <a:picLocks noChangeAspect="1"/>
                    </pic:cNvPicPr>
                  </pic:nvPicPr>
                  <pic:blipFill>
                    <a:blip xmlns:r="http://schemas.openxmlformats.org/officeDocument/2006/relationships" r:embed="rId12"/>
                    <a:stretch>
                      <a:fillRect/>
                    </a:stretch>
                  </pic:blipFill>
                  <pic:spPr>
                    <a:xfrm>
                      <a:off x="0" y="0"/>
                      <a:ext cx="1600200" cy="1800225"/>
                    </a:xfrm>
                    <a:prstGeom prst="rect">
                      <a:avLst/>
                    </a:prstGeom>
                  </pic:spPr>
                </pic:pic>
              </a:graphicData>
            </a:graphic>
          </wp:inline>
        </w:drawing>
      </w:r>
    </w:p>
    <w:p w14:paraId="0EF946FC">
      <w:pPr>
        <w:shd w:val="clear" w:color="auto" w:fill="auto"/>
        <w:spacing w:line="360" w:lineRule="auto"/>
        <w:jc w:val="left"/>
        <w:textAlignment w:val="center"/>
        <w:rPr>
          <w:sz w:val="21"/>
        </w:rPr>
      </w:pPr>
      <w:r>
        <w:rPr>
          <w:sz w:val="21"/>
        </w:rPr>
        <w:t>13．P地有著名的天然温泉，与其直接相关的是（</w:t>
      </w:r>
      <w:r>
        <w:rPr>
          <w:rFonts w:ascii="Times New Roman" w:eastAsia="Times New Roman" w:hAnsi="Times New Roman" w:cs="Times New Roman"/>
          <w:kern w:val="0"/>
          <w:sz w:val="24"/>
          <w:szCs w:val="24"/>
        </w:rPr>
        <w:t>   </w:t>
      </w:r>
      <w:r>
        <w:rPr>
          <w:sz w:val="21"/>
        </w:rPr>
        <w:t>）</w:t>
      </w:r>
    </w:p>
    <w:p w14:paraId="53EDC361">
      <w:pPr>
        <w:shd w:val="clear" w:color="auto" w:fill="auto"/>
        <w:tabs>
          <w:tab w:val="left" w:pos="2078"/>
          <w:tab w:val="left" w:pos="4156"/>
          <w:tab w:val="left" w:pos="6234"/>
        </w:tabs>
        <w:spacing w:line="360" w:lineRule="auto"/>
        <w:ind w:left="380"/>
        <w:jc w:val="left"/>
        <w:textAlignment w:val="center"/>
        <w:rPr>
          <w:sz w:val="21"/>
        </w:rPr>
      </w:pPr>
      <w:r>
        <w:rPr>
          <w:sz w:val="21"/>
        </w:rPr>
        <w:t>A．褶皱</w:t>
      </w:r>
      <w:r>
        <w:rPr>
          <w:sz w:val="21"/>
        </w:rPr>
        <w:tab/>
      </w:r>
      <w:r>
        <w:rPr>
          <w:sz w:val="21"/>
        </w:rPr>
        <w:t>B．沉积作用</w:t>
      </w:r>
      <w:r>
        <w:rPr>
          <w:sz w:val="21"/>
        </w:rPr>
        <w:tab/>
      </w:r>
      <w:r>
        <w:rPr>
          <w:sz w:val="21"/>
        </w:rPr>
        <w:t>C．断层</w:t>
      </w:r>
      <w:r>
        <w:rPr>
          <w:sz w:val="21"/>
        </w:rPr>
        <w:tab/>
      </w:r>
      <w:r>
        <w:rPr>
          <w:sz w:val="21"/>
        </w:rPr>
        <w:t>D．火山喷发</w:t>
      </w:r>
    </w:p>
    <w:p w14:paraId="65CEE181">
      <w:pPr>
        <w:shd w:val="clear" w:color="auto" w:fill="auto"/>
        <w:spacing w:line="360" w:lineRule="auto"/>
        <w:jc w:val="left"/>
        <w:textAlignment w:val="center"/>
        <w:rPr>
          <w:sz w:val="21"/>
        </w:rPr>
      </w:pPr>
      <w:r>
        <w:rPr>
          <w:sz w:val="21"/>
        </w:rPr>
        <w:t>14．学生在考察过程中拍摄的植被景观照片与垂直自然带对应正确的是（</w:t>
      </w:r>
      <w:r>
        <w:rPr>
          <w:rFonts w:ascii="Times New Roman" w:eastAsia="Times New Roman" w:hAnsi="Times New Roman" w:cs="Times New Roman"/>
          <w:kern w:val="0"/>
          <w:sz w:val="24"/>
          <w:szCs w:val="24"/>
        </w:rPr>
        <w:t>   </w:t>
      </w:r>
      <w:r>
        <w:rPr>
          <w:sz w:val="21"/>
        </w:rPr>
        <w:t>）</w:t>
      </w:r>
    </w:p>
    <w:p w14:paraId="0BE267B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62450" cy="1381125"/>
            <wp:effectExtent l="0" t="0" r="0" b="0"/>
            <wp:docPr id="13" name="_x0000_i1037" descr="@@@67e7c9579c264ebeb7c5ddccb6d9ab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_x0000_i1037" descr="@@@67e7c9579c264ebeb7c5ddccb6d9ab86"/>
                    <pic:cNvPicPr>
                      <a:picLocks noChangeAspect="1"/>
                    </pic:cNvPicPr>
                  </pic:nvPicPr>
                  <pic:blipFill>
                    <a:blip xmlns:r="http://schemas.openxmlformats.org/officeDocument/2006/relationships" r:embed="rId13"/>
                    <a:stretch>
                      <a:fillRect/>
                    </a:stretch>
                  </pic:blipFill>
                  <pic:spPr>
                    <a:xfrm>
                      <a:off x="0" y="0"/>
                      <a:ext cx="4362450" cy="1381125"/>
                    </a:xfrm>
                    <a:prstGeom prst="rect">
                      <a:avLst/>
                    </a:prstGeom>
                  </pic:spPr>
                </pic:pic>
              </a:graphicData>
            </a:graphic>
          </wp:inline>
        </w:drawing>
      </w:r>
    </w:p>
    <w:p w14:paraId="55548DDA">
      <w:pPr>
        <w:shd w:val="clear" w:color="auto" w:fill="auto"/>
        <w:tabs>
          <w:tab w:val="left" w:pos="4156"/>
        </w:tabs>
        <w:spacing w:line="360" w:lineRule="auto"/>
        <w:ind w:left="380"/>
        <w:jc w:val="left"/>
        <w:textAlignment w:val="center"/>
        <w:rPr>
          <w:sz w:val="21"/>
        </w:rPr>
      </w:pPr>
      <w:r>
        <w:rPr>
          <w:sz w:val="21"/>
        </w:rPr>
        <w:t>A．甲①</w:t>
      </w:r>
      <w:r>
        <w:rPr>
          <w:rFonts w:ascii="Times New Roman" w:eastAsia="Times New Roman" w:hAnsi="Times New Roman" w:cs="Times New Roman"/>
          <w:kern w:val="0"/>
          <w:sz w:val="24"/>
          <w:szCs w:val="24"/>
        </w:rPr>
        <w:t>      </w:t>
      </w:r>
      <w:r>
        <w:rPr>
          <w:sz w:val="21"/>
        </w:rPr>
        <w:t>乙②</w:t>
      </w:r>
      <w:r>
        <w:rPr>
          <w:rFonts w:ascii="Times New Roman" w:eastAsia="Times New Roman" w:hAnsi="Times New Roman" w:cs="Times New Roman"/>
          <w:kern w:val="0"/>
          <w:sz w:val="24"/>
          <w:szCs w:val="24"/>
        </w:rPr>
        <w:t>      </w:t>
      </w:r>
      <w:r>
        <w:rPr>
          <w:sz w:val="21"/>
        </w:rPr>
        <w:t>丙③</w:t>
      </w:r>
      <w:r>
        <w:rPr>
          <w:rFonts w:ascii="Times New Roman" w:eastAsia="Times New Roman" w:hAnsi="Times New Roman" w:cs="Times New Roman"/>
          <w:kern w:val="0"/>
          <w:sz w:val="24"/>
          <w:szCs w:val="24"/>
        </w:rPr>
        <w:t>      </w:t>
      </w:r>
      <w:r>
        <w:rPr>
          <w:sz w:val="21"/>
        </w:rPr>
        <w:t>丁④</w:t>
      </w:r>
      <w:r>
        <w:rPr>
          <w:sz w:val="21"/>
        </w:rPr>
        <w:tab/>
      </w:r>
      <w:r>
        <w:rPr>
          <w:sz w:val="21"/>
        </w:rPr>
        <w:t>B．甲④</w:t>
      </w:r>
      <w:r>
        <w:rPr>
          <w:rFonts w:ascii="Times New Roman" w:eastAsia="Times New Roman" w:hAnsi="Times New Roman" w:cs="Times New Roman"/>
          <w:kern w:val="0"/>
          <w:sz w:val="24"/>
          <w:szCs w:val="24"/>
        </w:rPr>
        <w:t>      </w:t>
      </w:r>
      <w:r>
        <w:rPr>
          <w:sz w:val="21"/>
        </w:rPr>
        <w:t>乙①</w:t>
      </w:r>
      <w:r>
        <w:rPr>
          <w:rFonts w:ascii="Times New Roman" w:eastAsia="Times New Roman" w:hAnsi="Times New Roman" w:cs="Times New Roman"/>
          <w:kern w:val="0"/>
          <w:sz w:val="24"/>
          <w:szCs w:val="24"/>
        </w:rPr>
        <w:t>      </w:t>
      </w:r>
      <w:r>
        <w:rPr>
          <w:sz w:val="21"/>
        </w:rPr>
        <w:t>丙②</w:t>
      </w:r>
      <w:r>
        <w:rPr>
          <w:rFonts w:ascii="Times New Roman" w:eastAsia="Times New Roman" w:hAnsi="Times New Roman" w:cs="Times New Roman"/>
          <w:kern w:val="0"/>
          <w:sz w:val="24"/>
          <w:szCs w:val="24"/>
        </w:rPr>
        <w:t>      </w:t>
      </w:r>
      <w:r>
        <w:rPr>
          <w:sz w:val="21"/>
        </w:rPr>
        <w:t>丁③</w:t>
      </w:r>
    </w:p>
    <w:p w14:paraId="3D1153A3">
      <w:pPr>
        <w:shd w:val="clear" w:color="auto" w:fill="auto"/>
        <w:tabs>
          <w:tab w:val="left" w:pos="4156"/>
        </w:tabs>
        <w:spacing w:line="360" w:lineRule="auto"/>
        <w:ind w:left="380"/>
        <w:jc w:val="left"/>
        <w:textAlignment w:val="center"/>
        <w:rPr>
          <w:sz w:val="21"/>
        </w:rPr>
      </w:pPr>
      <w:r>
        <w:rPr>
          <w:sz w:val="21"/>
        </w:rPr>
        <w:t>C．甲④</w:t>
      </w:r>
      <w:r>
        <w:rPr>
          <w:rFonts w:ascii="Times New Roman" w:eastAsia="Times New Roman" w:hAnsi="Times New Roman" w:cs="Times New Roman"/>
          <w:kern w:val="0"/>
          <w:sz w:val="24"/>
          <w:szCs w:val="24"/>
        </w:rPr>
        <w:t>      </w:t>
      </w:r>
      <w:r>
        <w:rPr>
          <w:sz w:val="21"/>
        </w:rPr>
        <w:t>乙③</w:t>
      </w:r>
      <w:r>
        <w:rPr>
          <w:rFonts w:ascii="Times New Roman" w:eastAsia="Times New Roman" w:hAnsi="Times New Roman" w:cs="Times New Roman"/>
          <w:kern w:val="0"/>
          <w:sz w:val="24"/>
          <w:szCs w:val="24"/>
        </w:rPr>
        <w:t>      </w:t>
      </w:r>
      <w:r>
        <w:rPr>
          <w:sz w:val="21"/>
        </w:rPr>
        <w:t>丙②</w:t>
      </w:r>
      <w:r>
        <w:rPr>
          <w:rFonts w:ascii="Times New Roman" w:eastAsia="Times New Roman" w:hAnsi="Times New Roman" w:cs="Times New Roman"/>
          <w:kern w:val="0"/>
          <w:sz w:val="24"/>
          <w:szCs w:val="24"/>
        </w:rPr>
        <w:t>      </w:t>
      </w:r>
      <w:r>
        <w:rPr>
          <w:sz w:val="21"/>
        </w:rPr>
        <w:t>丁①</w:t>
      </w:r>
      <w:r>
        <w:rPr>
          <w:sz w:val="21"/>
        </w:rPr>
        <w:tab/>
      </w:r>
      <w:r>
        <w:rPr>
          <w:sz w:val="21"/>
        </w:rPr>
        <w:t>D．甲④</w:t>
      </w:r>
      <w:r>
        <w:rPr>
          <w:rFonts w:ascii="Times New Roman" w:eastAsia="Times New Roman" w:hAnsi="Times New Roman" w:cs="Times New Roman"/>
          <w:kern w:val="0"/>
          <w:sz w:val="24"/>
          <w:szCs w:val="24"/>
        </w:rPr>
        <w:t>      </w:t>
      </w:r>
      <w:r>
        <w:rPr>
          <w:sz w:val="21"/>
        </w:rPr>
        <w:t>乙②</w:t>
      </w:r>
      <w:r>
        <w:rPr>
          <w:rFonts w:ascii="Times New Roman" w:eastAsia="Times New Roman" w:hAnsi="Times New Roman" w:cs="Times New Roman"/>
          <w:kern w:val="0"/>
          <w:sz w:val="24"/>
          <w:szCs w:val="24"/>
        </w:rPr>
        <w:t>      </w:t>
      </w:r>
      <w:r>
        <w:rPr>
          <w:sz w:val="21"/>
        </w:rPr>
        <w:t>丙①</w:t>
      </w:r>
      <w:r>
        <w:rPr>
          <w:rFonts w:ascii="Times New Roman" w:eastAsia="Times New Roman" w:hAnsi="Times New Roman" w:cs="Times New Roman"/>
          <w:kern w:val="0"/>
          <w:sz w:val="24"/>
          <w:szCs w:val="24"/>
        </w:rPr>
        <w:t>      </w:t>
      </w:r>
      <w:r>
        <w:rPr>
          <w:sz w:val="21"/>
        </w:rPr>
        <w:t>丁③</w:t>
      </w:r>
    </w:p>
    <w:p w14:paraId="17AA171D">
      <w:pPr>
        <w:shd w:val="clear" w:color="auto" w:fill="auto"/>
        <w:tabs>
          <w:tab w:val="left" w:pos="4156"/>
        </w:tabs>
        <w:spacing w:line="360" w:lineRule="auto"/>
        <w:ind w:left="380"/>
        <w:jc w:val="left"/>
        <w:textAlignment w:val="center"/>
        <w:rPr>
          <w:sz w:val="21"/>
        </w:rPr>
      </w:pPr>
    </w:p>
    <w:p w14:paraId="023F52E0">
      <w:pPr>
        <w:shd w:val="clear" w:color="auto" w:fill="F2F2F2"/>
        <w:spacing w:line="360" w:lineRule="auto"/>
        <w:jc w:val="left"/>
        <w:textAlignment w:val="center"/>
        <w:rPr>
          <w:sz w:val="21"/>
        </w:rPr>
      </w:pPr>
      <w:r>
        <w:rPr>
          <w:sz w:val="21"/>
        </w:rPr>
        <w:t>【答案】13．C    14．D</w:t>
      </w:r>
    </w:p>
    <w:p w14:paraId="3888DB58">
      <w:pPr>
        <w:shd w:val="clear" w:color="auto" w:fill="F2F2F2"/>
        <w:spacing w:line="360" w:lineRule="auto"/>
        <w:jc w:val="left"/>
        <w:textAlignment w:val="center"/>
        <w:rPr>
          <w:sz w:val="21"/>
        </w:rPr>
      </w:pPr>
      <w:r>
        <w:rPr>
          <w:sz w:val="21"/>
        </w:rPr>
        <w:t>【详解】13．</w:t>
      </w:r>
      <w:r>
        <w:rPr>
          <w:rFonts w:hint="eastAsia"/>
          <w:sz w:val="21"/>
        </w:rPr>
        <w:t>该山脉位于地堑谷地，地堑是一种典型的断层地貌，其形成是由于两侧岩层相对上升，中间岩层相对下降的断块构造 。温泉的形成与地下水密切相关，当地下水沿着断层或岩层裂隙上升到地表时，便形成了温泉，C 正确。褶皱作用主要使岩层发生弯曲变形，沉积作用是指物质在地表或近地表经过搬运后沉积下来的过程，这两种地质作用都不会形成断层或岩层裂隙，无法为地下水上升提供通道，因此不能形成温泉，A、B 错误。根据经纬度 “34°8'20"N，107°52'53"E” 判断，该地位于秦岭附近，秦岭并非火山地貌，不存在火山喷发活动，所以温泉的形成与火山活动无关，D 错误。</w:t>
      </w:r>
    </w:p>
    <w:p w14:paraId="35A21B88">
      <w:pPr>
        <w:shd w:val="clear" w:color="auto" w:fill="F2F2F2"/>
        <w:spacing w:line="360" w:lineRule="auto"/>
        <w:jc w:val="left"/>
        <w:textAlignment w:val="center"/>
        <w:rPr>
          <w:sz w:val="21"/>
        </w:rPr>
      </w:pPr>
      <w:r>
        <w:rPr>
          <w:sz w:val="21"/>
        </w:rPr>
        <w:t>14．</w:t>
      </w:r>
      <w:r>
        <w:rPr>
          <w:rFonts w:hint="eastAsia"/>
          <w:sz w:val="21"/>
        </w:rPr>
        <w:t>由上题可知该山脉为秦岭山脉，山脚下的 P 地处于地堑谷地附近，对应图中④（谷地）位置。从图片信息可以判断，②处应为落叶阔叶林，①处应为针叶林，③处应为高山灌丛草甸带 。从水热条件来看，落叶阔叶林所在区域的水热条件优于针叶林，针叶林的水热条件又优于高山灌丛草甸。依据山地垂直地带分异规律，随着海拔高度的上升，水热条件逐渐变差。所以，水热条件最好的乙对应②落叶阔叶林，丙对应①针叶林，丁对应③高山灌丛草甸带，D 正确，A、B、C 错误。</w:t>
      </w:r>
    </w:p>
    <w:p w14:paraId="71385E87">
      <w:pPr>
        <w:shd w:val="clear" w:color="auto" w:fill="auto"/>
        <w:spacing w:line="360" w:lineRule="auto"/>
        <w:ind w:firstLine="560"/>
        <w:jc w:val="left"/>
        <w:textAlignment w:val="center"/>
        <w:rPr>
          <w:sz w:val="21"/>
        </w:rPr>
      </w:pPr>
      <w:r>
        <w:rPr>
          <w:rFonts w:ascii="楷体" w:eastAsia="楷体" w:hAnsi="楷体" w:cs="楷体"/>
          <w:sz w:val="21"/>
        </w:rPr>
        <w:t>下图为</w:t>
      </w:r>
      <w:r>
        <w:rPr>
          <w:sz w:val="21"/>
        </w:rPr>
        <w:t>2021</w:t>
      </w:r>
      <w:r>
        <w:rPr>
          <w:rFonts w:ascii="楷体" w:eastAsia="楷体" w:hAnsi="楷体" w:cs="楷体"/>
          <w:sz w:val="21"/>
        </w:rPr>
        <w:t>年我国部分省（区、市）不同运输方式货运量及增速状况图（图中水路包括河运和海运）。完成下面小题。</w:t>
      </w:r>
    </w:p>
    <w:p w14:paraId="2D3CF35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00450" cy="3067050"/>
            <wp:effectExtent l="0" t="0" r="0" b="0"/>
            <wp:docPr id="14" name="_x0000_i1038" descr="@@@6f13a676-867c-4ae4-adc3-3814fa4701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_x0000_i1038" descr="@@@6f13a676-867c-4ae4-adc3-3814fa47018e"/>
                    <pic:cNvPicPr>
                      <a:picLocks noChangeAspect="1"/>
                    </pic:cNvPicPr>
                  </pic:nvPicPr>
                  <pic:blipFill>
                    <a:blip xmlns:r="http://schemas.openxmlformats.org/officeDocument/2006/relationships" r:embed="rId14"/>
                    <a:stretch>
                      <a:fillRect/>
                    </a:stretch>
                  </pic:blipFill>
                  <pic:spPr>
                    <a:xfrm>
                      <a:off x="0" y="0"/>
                      <a:ext cx="3600450" cy="3067050"/>
                    </a:xfrm>
                    <a:prstGeom prst="rect">
                      <a:avLst/>
                    </a:prstGeom>
                  </pic:spPr>
                </pic:pic>
              </a:graphicData>
            </a:graphic>
          </wp:inline>
        </w:drawing>
      </w:r>
    </w:p>
    <w:p w14:paraId="26895DA0">
      <w:pPr>
        <w:shd w:val="clear" w:color="auto" w:fill="auto"/>
        <w:spacing w:line="360" w:lineRule="auto"/>
        <w:jc w:val="left"/>
        <w:textAlignment w:val="center"/>
        <w:rPr>
          <w:sz w:val="21"/>
        </w:rPr>
      </w:pPr>
      <w:r>
        <w:rPr>
          <w:sz w:val="21"/>
        </w:rPr>
        <w:t>15．甲、乙、丙、丁对应正确的是（</w:t>
      </w:r>
      <w:r>
        <w:rPr>
          <w:rFonts w:ascii="Times New Roman" w:eastAsia="Times New Roman" w:hAnsi="Times New Roman" w:cs="Times New Roman"/>
          <w:kern w:val="0"/>
          <w:sz w:val="24"/>
          <w:szCs w:val="24"/>
        </w:rPr>
        <w:t>   </w:t>
      </w:r>
      <w:r>
        <w:rPr>
          <w:sz w:val="21"/>
        </w:rPr>
        <w:t>）</w:t>
      </w:r>
    </w:p>
    <w:p w14:paraId="375CFB3C">
      <w:pPr>
        <w:shd w:val="clear" w:color="auto" w:fill="auto"/>
        <w:tabs>
          <w:tab w:val="left" w:pos="2078"/>
          <w:tab w:val="left" w:pos="4156"/>
          <w:tab w:val="left" w:pos="6234"/>
        </w:tabs>
        <w:spacing w:line="360" w:lineRule="auto"/>
        <w:ind w:left="380"/>
        <w:jc w:val="left"/>
        <w:textAlignment w:val="center"/>
        <w:rPr>
          <w:sz w:val="21"/>
        </w:rPr>
      </w:pPr>
      <w:r>
        <w:rPr>
          <w:sz w:val="21"/>
        </w:rPr>
        <w:t>A．甲—重庆市</w:t>
      </w:r>
      <w:r>
        <w:rPr>
          <w:sz w:val="21"/>
        </w:rPr>
        <w:tab/>
      </w:r>
      <w:r>
        <w:rPr>
          <w:sz w:val="21"/>
        </w:rPr>
        <w:t>B．乙—内蒙古</w:t>
      </w:r>
      <w:r>
        <w:rPr>
          <w:sz w:val="21"/>
        </w:rPr>
        <w:tab/>
      </w:r>
      <w:r>
        <w:rPr>
          <w:sz w:val="21"/>
        </w:rPr>
        <w:t>C．丙—青海省</w:t>
      </w:r>
      <w:r>
        <w:rPr>
          <w:sz w:val="21"/>
        </w:rPr>
        <w:tab/>
      </w:r>
      <w:r>
        <w:rPr>
          <w:sz w:val="21"/>
        </w:rPr>
        <w:t>D．丁—浙江省</w:t>
      </w:r>
    </w:p>
    <w:p w14:paraId="03430D6D">
      <w:pPr>
        <w:shd w:val="clear" w:color="auto" w:fill="auto"/>
        <w:spacing w:line="360" w:lineRule="auto"/>
        <w:jc w:val="left"/>
        <w:textAlignment w:val="center"/>
        <w:rPr>
          <w:sz w:val="21"/>
        </w:rPr>
      </w:pPr>
      <w:r>
        <w:rPr>
          <w:sz w:val="21"/>
        </w:rPr>
        <w:t>16．关于省（区、市）货运状况及其主要成因的叙述，正确的是（</w:t>
      </w:r>
      <w:r>
        <w:rPr>
          <w:rFonts w:ascii="Times New Roman" w:eastAsia="Times New Roman" w:hAnsi="Times New Roman" w:cs="Times New Roman"/>
          <w:kern w:val="0"/>
          <w:sz w:val="24"/>
          <w:szCs w:val="24"/>
        </w:rPr>
        <w:t>   </w:t>
      </w:r>
      <w:r>
        <w:rPr>
          <w:sz w:val="21"/>
        </w:rPr>
        <w:t>）</w:t>
      </w:r>
    </w:p>
    <w:p w14:paraId="57654488">
      <w:pPr>
        <w:shd w:val="clear" w:color="auto" w:fill="auto"/>
        <w:tabs>
          <w:tab w:val="left" w:pos="4156"/>
        </w:tabs>
        <w:spacing w:line="360" w:lineRule="auto"/>
        <w:ind w:left="380"/>
        <w:jc w:val="left"/>
        <w:textAlignment w:val="center"/>
        <w:rPr>
          <w:sz w:val="21"/>
        </w:rPr>
      </w:pPr>
      <w:r>
        <w:rPr>
          <w:sz w:val="21"/>
        </w:rPr>
        <w:t>A．广东货运量大，因经济发达</w:t>
      </w:r>
      <w:r>
        <w:rPr>
          <w:sz w:val="21"/>
        </w:rPr>
        <w:tab/>
      </w:r>
      <w:r>
        <w:rPr>
          <w:sz w:val="21"/>
        </w:rPr>
        <w:t>B．云南货运量小，因地形崎岖</w:t>
      </w:r>
    </w:p>
    <w:p w14:paraId="0DC74CCD">
      <w:pPr>
        <w:shd w:val="clear" w:color="auto" w:fill="auto"/>
        <w:tabs>
          <w:tab w:val="left" w:pos="4156"/>
        </w:tabs>
        <w:spacing w:line="360" w:lineRule="auto"/>
        <w:ind w:left="380"/>
        <w:jc w:val="left"/>
        <w:textAlignment w:val="center"/>
        <w:rPr>
          <w:sz w:val="21"/>
        </w:rPr>
      </w:pPr>
      <w:r>
        <w:rPr>
          <w:sz w:val="21"/>
        </w:rPr>
        <w:t>C．吉林货运量负增长，因产业外迁多</w:t>
      </w:r>
      <w:r>
        <w:rPr>
          <w:sz w:val="21"/>
        </w:rPr>
        <w:tab/>
      </w:r>
      <w:r>
        <w:rPr>
          <w:sz w:val="21"/>
        </w:rPr>
        <w:t>D．海南货运增量最大，因人口增长快</w:t>
      </w:r>
    </w:p>
    <w:p w14:paraId="6A9E24C5">
      <w:pPr>
        <w:shd w:val="clear" w:color="auto" w:fill="auto"/>
        <w:tabs>
          <w:tab w:val="left" w:pos="4156"/>
        </w:tabs>
        <w:spacing w:line="360" w:lineRule="auto"/>
        <w:ind w:left="380"/>
        <w:jc w:val="left"/>
        <w:textAlignment w:val="center"/>
        <w:rPr>
          <w:sz w:val="21"/>
        </w:rPr>
      </w:pPr>
    </w:p>
    <w:p w14:paraId="6849391C">
      <w:pPr>
        <w:shd w:val="clear" w:color="auto" w:fill="F2F2F2"/>
        <w:spacing w:line="360" w:lineRule="auto"/>
        <w:jc w:val="left"/>
        <w:textAlignment w:val="center"/>
        <w:rPr>
          <w:sz w:val="21"/>
        </w:rPr>
      </w:pPr>
      <w:r>
        <w:rPr>
          <w:sz w:val="21"/>
        </w:rPr>
        <w:t>【答案】15．B    16．A</w:t>
      </w:r>
    </w:p>
    <w:p w14:paraId="1C3179CD">
      <w:pPr>
        <w:shd w:val="clear" w:color="auto" w:fill="F2F2F2"/>
        <w:spacing w:line="360" w:lineRule="auto"/>
        <w:jc w:val="left"/>
        <w:textAlignment w:val="center"/>
        <w:rPr>
          <w:sz w:val="21"/>
        </w:rPr>
      </w:pPr>
      <w:r>
        <w:rPr>
          <w:sz w:val="21"/>
        </w:rPr>
        <w:t>【详解】15．</w:t>
      </w:r>
      <w:r>
        <w:rPr>
          <w:rFonts w:hint="eastAsia"/>
          <w:sz w:val="21"/>
        </w:rPr>
        <w:t>从经济发展水平和交通区位来看，重庆市经济发展水平低于上海市，且上海市作为全国交通枢纽，交通便捷程度远超重庆，所以重庆市货运量不可能高于上海，A 错误。内蒙古凭借丰富的煤炭、稀土等矿产资源，大量外供至我国其他地区，货运需求旺盛，而铁路运输在大宗矿物运输方面具有独特优势，使得内蒙古铁路货运占比相对较高；又因其气候干旱，河流径流量小，水路运输条件差，发展不发达，这与乙省份的货运特征高度契合，B 正确。青海省经济发展程度较低，相比新疆，其货运量较小；同时，青海省作为众多大江大河源头，地势复杂，水运条件差，水运占比极小，C 错误。浙江省经济发达，且地处沿海，具有良好的货运发展条件，货运量应较大，而丁地区货运量极小，与浙江省的经济发展现状严重不符，D 错误。</w:t>
      </w:r>
    </w:p>
    <w:p w14:paraId="487584E5">
      <w:pPr>
        <w:shd w:val="clear" w:color="auto" w:fill="F2F2F2"/>
        <w:spacing w:line="360" w:lineRule="auto"/>
        <w:jc w:val="left"/>
        <w:textAlignment w:val="center"/>
        <w:rPr>
          <w:sz w:val="21"/>
        </w:rPr>
      </w:pPr>
      <w:r>
        <w:rPr>
          <w:sz w:val="21"/>
        </w:rPr>
        <w:t>16．</w:t>
      </w:r>
      <w:r>
        <w:rPr>
          <w:rFonts w:hint="eastAsia"/>
          <w:sz w:val="21"/>
        </w:rPr>
        <w:t>广东省经济发达，对外开放程度高，产业活动频繁，各类产品产量大、种类多，因此货运量庞大，A 正确。货运量小的根本原因在于地区经济欠发达，若经济发达，即便地形崎岖，也会通过建设现代化交通设施来满足货运需求，地形并非决定性因素，B 错误。吉林货运量增速在 0.05% 以上，呈正增长态势，并非负增长，C 错误。我国人口政策在全国具有统一性，2021 年各地人口增长速度相对平稳，海南货运增量大主要是由于其货运量基数低，实际增长量有限，并非因为人口增长快，D 错误。​</w:t>
      </w:r>
    </w:p>
    <w:p w14:paraId="1A59F72A">
      <w:pPr>
        <w:shd w:val="clear" w:color="auto" w:fill="auto"/>
        <w:spacing w:line="360" w:lineRule="auto"/>
        <w:ind w:firstLine="560"/>
        <w:jc w:val="left"/>
        <w:textAlignment w:val="center"/>
        <w:rPr>
          <w:sz w:val="21"/>
        </w:rPr>
      </w:pPr>
      <w:r>
        <w:rPr>
          <w:rFonts w:ascii="楷体" w:eastAsia="楷体" w:hAnsi="楷体" w:cs="楷体"/>
          <w:sz w:val="21"/>
        </w:rPr>
        <w:t>产城融合是指产业与城市融合发展。下图为某城市新工业园区空间结构规划图，该园区致力于打造创新服务、低碳宜居的产城融合新区。完成下面小题。</w:t>
      </w:r>
    </w:p>
    <w:p w14:paraId="409EB76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295650" cy="1866900"/>
            <wp:effectExtent l="0" t="0" r="0" b="0"/>
            <wp:docPr id="15" name="_x0000_i1039" descr="@@@fed9158437db4d598a20622be47ccd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_x0000_i1039" descr="@@@fed9158437db4d598a20622be47ccd93"/>
                    <pic:cNvPicPr>
                      <a:picLocks noChangeAspect="1"/>
                    </pic:cNvPicPr>
                  </pic:nvPicPr>
                  <pic:blipFill>
                    <a:blip xmlns:r="http://schemas.openxmlformats.org/officeDocument/2006/relationships" r:embed="rId15"/>
                    <a:stretch>
                      <a:fillRect/>
                    </a:stretch>
                  </pic:blipFill>
                  <pic:spPr>
                    <a:xfrm>
                      <a:off x="0" y="0"/>
                      <a:ext cx="3295650" cy="1866900"/>
                    </a:xfrm>
                    <a:prstGeom prst="rect">
                      <a:avLst/>
                    </a:prstGeom>
                  </pic:spPr>
                </pic:pic>
              </a:graphicData>
            </a:graphic>
          </wp:inline>
        </w:drawing>
      </w:r>
    </w:p>
    <w:p w14:paraId="0C46B8B5">
      <w:pPr>
        <w:shd w:val="clear" w:color="auto" w:fill="auto"/>
        <w:spacing w:line="360" w:lineRule="auto"/>
        <w:jc w:val="left"/>
        <w:textAlignment w:val="center"/>
        <w:rPr>
          <w:sz w:val="21"/>
        </w:rPr>
      </w:pPr>
      <w:r>
        <w:rPr>
          <w:sz w:val="21"/>
        </w:rPr>
        <w:t>17．宜居生活片区布局的合理性表现在（</w:t>
      </w:r>
      <w:r>
        <w:rPr>
          <w:rFonts w:ascii="Times New Roman" w:eastAsia="Times New Roman" w:hAnsi="Times New Roman" w:cs="Times New Roman"/>
          <w:kern w:val="0"/>
          <w:sz w:val="24"/>
          <w:szCs w:val="24"/>
        </w:rPr>
        <w:t>   </w:t>
      </w:r>
      <w:r>
        <w:rPr>
          <w:sz w:val="21"/>
        </w:rPr>
        <w:t>）</w:t>
      </w:r>
    </w:p>
    <w:p w14:paraId="6015CAEF">
      <w:pPr>
        <w:shd w:val="clear" w:color="auto" w:fill="auto"/>
        <w:spacing w:line="360" w:lineRule="auto"/>
        <w:jc w:val="left"/>
        <w:textAlignment w:val="center"/>
        <w:rPr>
          <w:sz w:val="21"/>
        </w:rPr>
      </w:pPr>
      <w:r>
        <w:rPr>
          <w:sz w:val="21"/>
        </w:rPr>
        <w:t>①在园区内位置适宜，通勤便捷</w:t>
      </w:r>
      <w:r>
        <w:rPr>
          <w:rFonts w:ascii="Times New Roman" w:eastAsia="Times New Roman" w:hAnsi="Times New Roman" w:cs="Times New Roman"/>
          <w:kern w:val="0"/>
          <w:sz w:val="24"/>
          <w:szCs w:val="24"/>
        </w:rPr>
        <w:t>           </w:t>
      </w:r>
      <w:r>
        <w:rPr>
          <w:sz w:val="21"/>
        </w:rPr>
        <w:t>②位于盛行风下风向，空气清新</w:t>
      </w:r>
    </w:p>
    <w:p w14:paraId="1EEBA0FB">
      <w:pPr>
        <w:shd w:val="clear" w:color="auto" w:fill="auto"/>
        <w:spacing w:line="360" w:lineRule="auto"/>
        <w:jc w:val="left"/>
        <w:textAlignment w:val="center"/>
        <w:rPr>
          <w:sz w:val="21"/>
        </w:rPr>
      </w:pPr>
      <w:r>
        <w:rPr>
          <w:sz w:val="21"/>
        </w:rPr>
        <w:t>③公共绿地面积广阔，环境优美</w:t>
      </w:r>
      <w:r>
        <w:rPr>
          <w:rFonts w:ascii="Times New Roman" w:eastAsia="Times New Roman" w:hAnsi="Times New Roman" w:cs="Times New Roman"/>
          <w:kern w:val="0"/>
          <w:sz w:val="24"/>
          <w:szCs w:val="24"/>
        </w:rPr>
        <w:t>           </w:t>
      </w:r>
      <w:r>
        <w:rPr>
          <w:sz w:val="21"/>
        </w:rPr>
        <w:t>④距离商业中心较近，购物便利</w:t>
      </w:r>
    </w:p>
    <w:p w14:paraId="127DD380">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B．②③</w:t>
      </w:r>
      <w:r>
        <w:rPr>
          <w:sz w:val="21"/>
        </w:rPr>
        <w:tab/>
      </w:r>
      <w:r>
        <w:rPr>
          <w:sz w:val="21"/>
        </w:rPr>
        <w:t>C．③④</w:t>
      </w:r>
      <w:r>
        <w:rPr>
          <w:sz w:val="21"/>
        </w:rPr>
        <w:tab/>
      </w:r>
      <w:r>
        <w:rPr>
          <w:sz w:val="21"/>
        </w:rPr>
        <w:t>D．①④</w:t>
      </w:r>
    </w:p>
    <w:p w14:paraId="4FA95FDB">
      <w:pPr>
        <w:shd w:val="clear" w:color="auto" w:fill="auto"/>
        <w:spacing w:line="360" w:lineRule="auto"/>
        <w:jc w:val="left"/>
        <w:textAlignment w:val="center"/>
        <w:rPr>
          <w:sz w:val="21"/>
        </w:rPr>
      </w:pPr>
      <w:r>
        <w:rPr>
          <w:sz w:val="21"/>
        </w:rPr>
        <w:t>18．先进制造业片区适合发展的产业是（</w:t>
      </w:r>
      <w:r>
        <w:rPr>
          <w:rFonts w:ascii="Times New Roman" w:eastAsia="Times New Roman" w:hAnsi="Times New Roman" w:cs="Times New Roman"/>
          <w:kern w:val="0"/>
          <w:sz w:val="24"/>
          <w:szCs w:val="24"/>
        </w:rPr>
        <w:t>   </w:t>
      </w:r>
      <w:r>
        <w:rPr>
          <w:sz w:val="21"/>
        </w:rPr>
        <w:t>）</w:t>
      </w:r>
    </w:p>
    <w:p w14:paraId="5234768A">
      <w:pPr>
        <w:shd w:val="clear" w:color="auto" w:fill="auto"/>
        <w:tabs>
          <w:tab w:val="left" w:pos="2078"/>
          <w:tab w:val="left" w:pos="4156"/>
          <w:tab w:val="left" w:pos="6234"/>
        </w:tabs>
        <w:spacing w:line="360" w:lineRule="auto"/>
        <w:ind w:left="380"/>
        <w:jc w:val="left"/>
        <w:textAlignment w:val="center"/>
        <w:rPr>
          <w:sz w:val="21"/>
        </w:rPr>
      </w:pPr>
      <w:r>
        <w:rPr>
          <w:sz w:val="21"/>
        </w:rPr>
        <w:t>A．纺织服装</w:t>
      </w:r>
      <w:r>
        <w:rPr>
          <w:sz w:val="21"/>
        </w:rPr>
        <w:tab/>
      </w:r>
      <w:r>
        <w:rPr>
          <w:sz w:val="21"/>
        </w:rPr>
        <w:t>B．有色冶金</w:t>
      </w:r>
      <w:r>
        <w:rPr>
          <w:sz w:val="21"/>
        </w:rPr>
        <w:tab/>
      </w:r>
      <w:r>
        <w:rPr>
          <w:sz w:val="21"/>
        </w:rPr>
        <w:t>C．生物医药</w:t>
      </w:r>
      <w:r>
        <w:rPr>
          <w:sz w:val="21"/>
        </w:rPr>
        <w:tab/>
      </w:r>
      <w:r>
        <w:rPr>
          <w:sz w:val="21"/>
        </w:rPr>
        <w:t>D．食品加工</w:t>
      </w:r>
    </w:p>
    <w:p w14:paraId="55A89ED2">
      <w:pPr>
        <w:shd w:val="clear" w:color="auto" w:fill="auto"/>
        <w:tabs>
          <w:tab w:val="left" w:pos="2078"/>
          <w:tab w:val="left" w:pos="4156"/>
          <w:tab w:val="left" w:pos="6234"/>
        </w:tabs>
        <w:spacing w:line="360" w:lineRule="auto"/>
        <w:ind w:left="380"/>
        <w:jc w:val="left"/>
        <w:textAlignment w:val="center"/>
        <w:rPr>
          <w:sz w:val="21"/>
        </w:rPr>
      </w:pPr>
    </w:p>
    <w:p w14:paraId="69935464">
      <w:pPr>
        <w:shd w:val="clear" w:color="auto" w:fill="F2F2F2"/>
        <w:spacing w:line="360" w:lineRule="auto"/>
        <w:jc w:val="left"/>
        <w:textAlignment w:val="center"/>
        <w:rPr>
          <w:sz w:val="21"/>
        </w:rPr>
      </w:pPr>
      <w:r>
        <w:rPr>
          <w:sz w:val="21"/>
        </w:rPr>
        <w:t>【答案】17．D    18．C</w:t>
      </w:r>
    </w:p>
    <w:p w14:paraId="0DD4B009">
      <w:pPr>
        <w:shd w:val="clear" w:color="auto" w:fill="F2F2F2"/>
        <w:spacing w:line="360" w:lineRule="auto"/>
        <w:jc w:val="left"/>
        <w:textAlignment w:val="center"/>
        <w:rPr>
          <w:sz w:val="21"/>
        </w:rPr>
      </w:pPr>
      <w:r>
        <w:rPr>
          <w:sz w:val="21"/>
        </w:rPr>
        <w:t>【详解】17．</w:t>
      </w:r>
      <w:r>
        <w:rPr>
          <w:rFonts w:hint="eastAsia"/>
          <w:sz w:val="21"/>
        </w:rPr>
        <w:t>从图中宜居生活片区的布局来看，其位于园区中心位置附近，这样的相对位置便于居民各类生活设施 。同时，宜居生活片区偏南侧有轨道交通线经过，为居民通勤提供了便捷的交通方式，①正确。依据图中风频玫瑰图可知，当地主要盛行风为偏东风，而宜居生活片区分布在园区偏东侧，处于盛行风的下风向，并非上风向附近，②错误。由于图中未标注公共绿地面积分布情况，无法确定公共绿地面积是否广阔，③无法判断。此外，宜居生活片区靠近商业中心片区，居民购物便利，极大提升了人居环境品质，④正确。综上，D 正确，A、B、C 错误。</w:t>
      </w:r>
    </w:p>
    <w:p w14:paraId="0101EBF7">
      <w:pPr>
        <w:shd w:val="clear" w:color="auto" w:fill="F2F2F2"/>
        <w:spacing w:line="360" w:lineRule="auto"/>
        <w:jc w:val="left"/>
        <w:textAlignment w:val="center"/>
        <w:rPr>
          <w:sz w:val="21"/>
        </w:rPr>
      </w:pPr>
      <w:r>
        <w:rPr>
          <w:sz w:val="21"/>
        </w:rPr>
        <w:t>18．</w:t>
      </w:r>
      <w:r>
        <w:rPr>
          <w:rFonts w:hint="eastAsia"/>
          <w:sz w:val="21"/>
        </w:rPr>
        <w:t>不同产业具有不同的发展需求和特点。纺织服装和食品加工产业通常属于传统的劳动密集型产业，对劳动力数量需求较大 ；有色冶金产业属于动力指向型工业，对能源供应要求较高。而先进制造业片区以发展高科技、高附加值产业为主，产品科技含量高，科研成本投入大。生物医药产品研发对科技水平要求极高，研发周期长，符合先进制造业片区对产业科技属性和创新能力的要求，因此先进制造业片区适合发展生物医药产业，C 正确，A、B、D 错误。</w:t>
      </w:r>
    </w:p>
    <w:p w14:paraId="582DA66D">
      <w:pPr>
        <w:shd w:val="clear" w:color="auto" w:fill="auto"/>
        <w:spacing w:line="360" w:lineRule="auto"/>
        <w:ind w:firstLine="560"/>
        <w:jc w:val="left"/>
        <w:textAlignment w:val="center"/>
        <w:rPr>
          <w:sz w:val="21"/>
        </w:rPr>
      </w:pPr>
      <w:r>
        <w:rPr>
          <w:rFonts w:ascii="楷体" w:eastAsia="楷体" w:hAnsi="楷体" w:cs="楷体"/>
          <w:sz w:val="21"/>
        </w:rPr>
        <w:t>下图为某年</w:t>
      </w:r>
      <w:r>
        <w:rPr>
          <w:sz w:val="21"/>
        </w:rPr>
        <w:t>10</w:t>
      </w:r>
      <w:r>
        <w:rPr>
          <w:rFonts w:ascii="楷体" w:eastAsia="楷体" w:hAnsi="楷体" w:cs="楷体"/>
          <w:sz w:val="21"/>
        </w:rPr>
        <w:t>月两日内气旋移动的路径图，图中等压线反映的是某测站附近第一天</w:t>
      </w:r>
      <w:r>
        <w:rPr>
          <w:sz w:val="21"/>
        </w:rPr>
        <w:t>2</w:t>
      </w:r>
      <w:r>
        <w:rPr>
          <w:rFonts w:ascii="楷体" w:eastAsia="楷体" w:hAnsi="楷体" w:cs="楷体"/>
          <w:sz w:val="21"/>
        </w:rPr>
        <w:t>时的海平面气压形势。该测站测得第一天</w:t>
      </w:r>
      <w:r>
        <w:rPr>
          <w:sz w:val="21"/>
        </w:rPr>
        <w:t>7</w:t>
      </w:r>
      <w:r>
        <w:rPr>
          <w:rFonts w:ascii="楷体" w:eastAsia="楷体" w:hAnsi="楷体" w:cs="楷体"/>
          <w:sz w:val="21"/>
        </w:rPr>
        <w:t>时、</w:t>
      </w:r>
      <w:r>
        <w:rPr>
          <w:sz w:val="21"/>
        </w:rPr>
        <w:t>15</w:t>
      </w:r>
      <w:r>
        <w:rPr>
          <w:rFonts w:ascii="楷体" w:eastAsia="楷体" w:hAnsi="楷体" w:cs="楷体"/>
          <w:sz w:val="21"/>
        </w:rPr>
        <w:t>时前后风向发生两次明显变化。完成下面小题。</w:t>
      </w:r>
    </w:p>
    <w:p w14:paraId="5D870AE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876550" cy="2076450"/>
            <wp:effectExtent l="0" t="0" r="0" b="0"/>
            <wp:docPr id="16" name="_x0000_i1040" descr="@@@397878f5-a507-4430-b7fd-0fc60a4b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_x0000_i1040" descr="@@@397878f5-a507-4430-b7fd-0fc60a4b4681"/>
                    <pic:cNvPicPr>
                      <a:picLocks noChangeAspect="1"/>
                    </pic:cNvPicPr>
                  </pic:nvPicPr>
                  <pic:blipFill>
                    <a:blip xmlns:r="http://schemas.openxmlformats.org/officeDocument/2006/relationships" r:embed="rId16"/>
                    <a:stretch>
                      <a:fillRect/>
                    </a:stretch>
                  </pic:blipFill>
                  <pic:spPr>
                    <a:xfrm>
                      <a:off x="0" y="0"/>
                      <a:ext cx="2876550" cy="2076450"/>
                    </a:xfrm>
                    <a:prstGeom prst="rect">
                      <a:avLst/>
                    </a:prstGeom>
                  </pic:spPr>
                </pic:pic>
              </a:graphicData>
            </a:graphic>
          </wp:inline>
        </w:drawing>
      </w:r>
    </w:p>
    <w:p w14:paraId="66D6771F">
      <w:pPr>
        <w:shd w:val="clear" w:color="auto" w:fill="auto"/>
        <w:spacing w:line="360" w:lineRule="auto"/>
        <w:jc w:val="left"/>
        <w:textAlignment w:val="center"/>
        <w:rPr>
          <w:sz w:val="21"/>
        </w:rPr>
      </w:pPr>
      <w:r>
        <w:rPr>
          <w:sz w:val="21"/>
        </w:rPr>
        <w:t>19．第一天7时前后，测站的风向由（</w:t>
      </w:r>
      <w:r>
        <w:rPr>
          <w:rFonts w:ascii="Times New Roman" w:eastAsia="Times New Roman" w:hAnsi="Times New Roman" w:cs="Times New Roman"/>
          <w:kern w:val="0"/>
          <w:sz w:val="24"/>
          <w:szCs w:val="24"/>
        </w:rPr>
        <w:t>   </w:t>
      </w:r>
      <w:r>
        <w:rPr>
          <w:sz w:val="21"/>
        </w:rPr>
        <w:t>）</w:t>
      </w:r>
    </w:p>
    <w:p w14:paraId="6FD39D96">
      <w:pPr>
        <w:shd w:val="clear" w:color="auto" w:fill="auto"/>
        <w:tabs>
          <w:tab w:val="left" w:pos="4156"/>
        </w:tabs>
        <w:spacing w:line="360" w:lineRule="auto"/>
        <w:ind w:left="380"/>
        <w:jc w:val="left"/>
        <w:textAlignment w:val="center"/>
        <w:rPr>
          <w:sz w:val="21"/>
        </w:rPr>
      </w:pPr>
      <w:r>
        <w:rPr>
          <w:sz w:val="21"/>
        </w:rPr>
        <w:t>A．西南变东北</w:t>
      </w:r>
      <w:r>
        <w:rPr>
          <w:sz w:val="21"/>
        </w:rPr>
        <w:tab/>
      </w:r>
      <w:r>
        <w:rPr>
          <w:sz w:val="21"/>
        </w:rPr>
        <w:t>B．西南变西北</w:t>
      </w:r>
    </w:p>
    <w:p w14:paraId="4A9B8899">
      <w:pPr>
        <w:shd w:val="clear" w:color="auto" w:fill="auto"/>
        <w:tabs>
          <w:tab w:val="left" w:pos="4156"/>
        </w:tabs>
        <w:spacing w:line="360" w:lineRule="auto"/>
        <w:ind w:left="380"/>
        <w:jc w:val="left"/>
        <w:textAlignment w:val="center"/>
        <w:rPr>
          <w:sz w:val="21"/>
        </w:rPr>
      </w:pPr>
      <w:r>
        <w:rPr>
          <w:sz w:val="21"/>
        </w:rPr>
        <w:t>C．东北变东南</w:t>
      </w:r>
      <w:r>
        <w:rPr>
          <w:sz w:val="21"/>
        </w:rPr>
        <w:tab/>
      </w:r>
      <w:r>
        <w:rPr>
          <w:sz w:val="21"/>
        </w:rPr>
        <w:t>D．东北变西南</w:t>
      </w:r>
    </w:p>
    <w:p w14:paraId="309EFD82">
      <w:pPr>
        <w:shd w:val="clear" w:color="auto" w:fill="auto"/>
        <w:spacing w:line="360" w:lineRule="auto"/>
        <w:jc w:val="left"/>
        <w:textAlignment w:val="center"/>
        <w:rPr>
          <w:sz w:val="21"/>
        </w:rPr>
      </w:pPr>
      <w:r>
        <w:rPr>
          <w:sz w:val="21"/>
        </w:rPr>
        <w:t>20．第一天不同时间天气系统依次经过测站次序正确的是（</w:t>
      </w:r>
      <w:r>
        <w:rPr>
          <w:rFonts w:ascii="Times New Roman" w:eastAsia="Times New Roman" w:hAnsi="Times New Roman" w:cs="Times New Roman"/>
          <w:kern w:val="0"/>
          <w:sz w:val="24"/>
          <w:szCs w:val="24"/>
        </w:rPr>
        <w:t>   </w:t>
      </w:r>
      <w:r>
        <w:rPr>
          <w:sz w:val="21"/>
        </w:rPr>
        <w:t>）</w:t>
      </w:r>
    </w:p>
    <w:p w14:paraId="13AC03DF">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124325" cy="1562100"/>
            <wp:effectExtent l="0" t="0" r="0" b="0"/>
            <wp:docPr id="17" name="_x0000_i1041" descr="@@@5f64797b-5127-46a9-9d20-5f964fdfb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_x0000_i1041" descr="@@@5f64797b-5127-46a9-9d20-5f964fdfb228"/>
                    <pic:cNvPicPr>
                      <a:picLocks noChangeAspect="1"/>
                    </pic:cNvPicPr>
                  </pic:nvPicPr>
                  <pic:blipFill>
                    <a:blip xmlns:r="http://schemas.openxmlformats.org/officeDocument/2006/relationships" r:embed="rId17"/>
                    <a:stretch>
                      <a:fillRect/>
                    </a:stretch>
                  </pic:blipFill>
                  <pic:spPr>
                    <a:xfrm>
                      <a:off x="0" y="0"/>
                      <a:ext cx="4124325" cy="1562100"/>
                    </a:xfrm>
                    <a:prstGeom prst="rect">
                      <a:avLst/>
                    </a:prstGeom>
                  </pic:spPr>
                </pic:pic>
              </a:graphicData>
            </a:graphic>
          </wp:inline>
        </w:drawing>
      </w:r>
    </w:p>
    <w:p w14:paraId="52DA2E29">
      <w:pPr>
        <w:shd w:val="clear" w:color="auto" w:fill="auto"/>
        <w:tabs>
          <w:tab w:val="left" w:pos="2078"/>
          <w:tab w:val="left" w:pos="4156"/>
          <w:tab w:val="left" w:pos="6234"/>
        </w:tabs>
        <w:spacing w:line="360" w:lineRule="auto"/>
        <w:ind w:left="38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14:paraId="30EA3D9B">
      <w:pPr>
        <w:shd w:val="clear" w:color="auto" w:fill="auto"/>
        <w:tabs>
          <w:tab w:val="left" w:pos="2078"/>
          <w:tab w:val="left" w:pos="4156"/>
          <w:tab w:val="left" w:pos="6234"/>
        </w:tabs>
        <w:spacing w:line="360" w:lineRule="auto"/>
        <w:ind w:left="380"/>
        <w:jc w:val="left"/>
        <w:textAlignment w:val="center"/>
        <w:rPr>
          <w:sz w:val="21"/>
        </w:rPr>
      </w:pPr>
    </w:p>
    <w:p w14:paraId="6B90CA2F">
      <w:pPr>
        <w:shd w:val="clear" w:color="auto" w:fill="F2F2F2"/>
        <w:spacing w:line="360" w:lineRule="auto"/>
        <w:jc w:val="left"/>
        <w:textAlignment w:val="center"/>
        <w:rPr>
          <w:sz w:val="21"/>
        </w:rPr>
      </w:pPr>
      <w:r>
        <w:rPr>
          <w:sz w:val="21"/>
        </w:rPr>
        <w:t>【答案】19．C    20．C</w:t>
      </w:r>
    </w:p>
    <w:p w14:paraId="50849B1B">
      <w:pPr>
        <w:shd w:val="clear" w:color="auto" w:fill="F2F2F2"/>
        <w:spacing w:line="360" w:lineRule="auto"/>
        <w:jc w:val="left"/>
        <w:textAlignment w:val="center"/>
        <w:rPr>
          <w:rFonts w:hint="eastAsia"/>
          <w:sz w:val="21"/>
        </w:rPr>
      </w:pPr>
      <w:r>
        <w:rPr>
          <w:sz w:val="21"/>
        </w:rPr>
        <w:t>【详解】19．</w:t>
      </w:r>
      <w:r>
        <w:rPr>
          <w:rFonts w:hint="eastAsia"/>
          <w:sz w:val="21"/>
        </w:rPr>
        <w:t>首先分析第一天不同时刻测站的风向变化。在第一天 2 时，气压中心 K1 处于测站的西南方向从图示等压线信息能够判断 K1 为低压中心 。根据水平气压梯度力由高压指向低压的规律，从测站到 K1 的水平气压梯度力方向是由东北指向西南，又因为在北半球地转偏向力向右偏转，所以此时测站形成东北风。到了第一天 7 时，气压中心 K2（同样是低压中心）位于测站的偏西方向，那么从测站到 K2 的水平气压梯度力方向是由东指向西，在北半球地转偏向力右偏的作用下，此时测站形成东南风。由此可知，第一天 7 时前后，测站的风向由东北转变为东南，C 正确，A、B、D 错误。</w:t>
      </w:r>
    </w:p>
    <w:p w14:paraId="14162B12">
      <w:pPr>
        <w:shd w:val="clear" w:color="auto" w:fill="F2F2F2"/>
        <w:spacing w:line="360" w:lineRule="auto"/>
        <w:jc w:val="left"/>
        <w:textAlignment w:val="center"/>
        <w:rPr>
          <w:sz w:val="21"/>
        </w:rPr>
      </w:pPr>
      <w:r>
        <w:rPr>
          <w:sz w:val="21"/>
        </w:rPr>
        <w:t>20．</w:t>
      </w:r>
      <w:r>
        <w:rPr>
          <w:rFonts w:hint="eastAsia"/>
          <w:sz w:val="21"/>
        </w:rPr>
        <w:t>依据所学的天气系统知识，在由 K1 低压中心形成的北半球锋面气旋中，其偏东侧的锋面为暖锋 。由于北半球气旋的气流呈逆时针辐合运动，所以在 K1 时期（第一天 2 时），测站处于暖锋锋面之前的位置，此时受冷气团控制。观察选项，②④在 2 时附近受暖气团（位于锋面之上）控制，不符合测站此时的气团控制情况，B、D 错误。再看 K2 时期，测站位于暖锋锋面之后，受暖气团控制，并且在锋面气旋偏西侧的冷锋过境前，测站一直受暖气团影响，而当冷锋过境后，测站将会受冷气团（位于锋面之下）控制，C 正确，A 错误。</w:t>
      </w:r>
    </w:p>
    <w:p w14:paraId="7E9EAB8F">
      <w:pPr>
        <w:shd w:val="clear" w:color="auto" w:fill="auto"/>
        <w:spacing w:line="360" w:lineRule="auto"/>
        <w:ind w:firstLine="560"/>
        <w:jc w:val="left"/>
        <w:textAlignment w:val="center"/>
        <w:rPr>
          <w:sz w:val="21"/>
        </w:rPr>
      </w:pPr>
      <w:r>
        <w:rPr>
          <w:rFonts w:ascii="楷体" w:eastAsia="楷体" w:hAnsi="楷体" w:cs="楷体"/>
          <w:sz w:val="21"/>
        </w:rPr>
        <w:t>下图为长江口简图，图中虚线表示沟槽或隆脊。研究人员测定</w:t>
      </w:r>
      <w:r>
        <w:rPr>
          <w:sz w:val="21"/>
        </w:rPr>
        <w:t>M</w:t>
      </w:r>
      <w:r>
        <w:rPr>
          <w:rFonts w:ascii="楷体" w:eastAsia="楷体" w:hAnsi="楷体" w:cs="楷体"/>
          <w:sz w:val="21"/>
        </w:rPr>
        <w:t>、</w:t>
      </w:r>
      <w:r>
        <w:rPr>
          <w:sz w:val="21"/>
        </w:rPr>
        <w:t>N</w:t>
      </w:r>
      <w:r>
        <w:rPr>
          <w:rFonts w:ascii="楷体" w:eastAsia="楷体" w:hAnsi="楷体" w:cs="楷体"/>
          <w:sz w:val="21"/>
        </w:rPr>
        <w:t>两点</w:t>
      </w:r>
      <w:r>
        <w:rPr>
          <w:sz w:val="21"/>
        </w:rPr>
        <w:t>2</w:t>
      </w:r>
      <w:r>
        <w:rPr>
          <w:rFonts w:ascii="楷体" w:eastAsia="楷体" w:hAnsi="楷体" w:cs="楷体"/>
          <w:sz w:val="21"/>
        </w:rPr>
        <w:t>月和</w:t>
      </w:r>
      <w:r>
        <w:rPr>
          <w:sz w:val="21"/>
        </w:rPr>
        <w:t>8</w:t>
      </w:r>
      <w:r>
        <w:rPr>
          <w:rFonts w:ascii="楷体" w:eastAsia="楷体" w:hAnsi="楷体" w:cs="楷体"/>
          <w:sz w:val="21"/>
        </w:rPr>
        <w:t>月的海面水体盐度；在</w:t>
      </w:r>
      <w:r>
        <w:rPr>
          <w:sz w:val="21"/>
        </w:rPr>
        <w:t>P</w:t>
      </w:r>
      <w:r>
        <w:rPr>
          <w:rFonts w:ascii="楷体" w:eastAsia="楷体" w:hAnsi="楷体" w:cs="楷体"/>
          <w:sz w:val="21"/>
        </w:rPr>
        <w:t>、</w:t>
      </w:r>
      <w:r>
        <w:rPr>
          <w:sz w:val="21"/>
        </w:rPr>
        <w:t>Q</w:t>
      </w:r>
      <w:r>
        <w:rPr>
          <w:rFonts w:ascii="楷体" w:eastAsia="楷体" w:hAnsi="楷体" w:cs="楷体"/>
          <w:sz w:val="21"/>
        </w:rPr>
        <w:t>两地采集海底表层沉积物并测定年代，测得</w:t>
      </w:r>
      <w:r>
        <w:rPr>
          <w:sz w:val="21"/>
        </w:rPr>
        <w:t>P</w:t>
      </w:r>
      <w:r>
        <w:rPr>
          <w:rFonts w:ascii="楷体" w:eastAsia="楷体" w:hAnsi="楷体" w:cs="楷体"/>
          <w:sz w:val="21"/>
        </w:rPr>
        <w:t>地距今约</w:t>
      </w:r>
      <w:r>
        <w:rPr>
          <w:sz w:val="21"/>
        </w:rPr>
        <w:t>1</w:t>
      </w:r>
      <w:r>
        <w:rPr>
          <w:rFonts w:ascii="楷体" w:eastAsia="楷体" w:hAnsi="楷体" w:cs="楷体"/>
          <w:sz w:val="21"/>
        </w:rPr>
        <w:t>千年，</w:t>
      </w:r>
      <w:r>
        <w:rPr>
          <w:sz w:val="21"/>
        </w:rPr>
        <w:t>Q</w:t>
      </w:r>
      <w:r>
        <w:rPr>
          <w:rFonts w:ascii="楷体" w:eastAsia="楷体" w:hAnsi="楷体" w:cs="楷体"/>
          <w:sz w:val="21"/>
        </w:rPr>
        <w:t>地为现代沉积。完成下面小题。</w:t>
      </w:r>
    </w:p>
    <w:p w14:paraId="2D56D2A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190875" cy="1876425"/>
            <wp:effectExtent l="0" t="0" r="0" b="0"/>
            <wp:docPr id="18" name="_x0000_i1042" descr="@@@ce6cfb8a-d8d5-45a5-ab45-873427559b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_x0000_i1042" descr="@@@ce6cfb8a-d8d5-45a5-ab45-873427559b73"/>
                    <pic:cNvPicPr>
                      <a:picLocks noChangeAspect="1"/>
                    </pic:cNvPicPr>
                  </pic:nvPicPr>
                  <pic:blipFill>
                    <a:blip xmlns:r="http://schemas.openxmlformats.org/officeDocument/2006/relationships" r:embed="rId18"/>
                    <a:stretch>
                      <a:fillRect/>
                    </a:stretch>
                  </pic:blipFill>
                  <pic:spPr>
                    <a:xfrm>
                      <a:off x="0" y="0"/>
                      <a:ext cx="3190875" cy="1876425"/>
                    </a:xfrm>
                    <a:prstGeom prst="rect">
                      <a:avLst/>
                    </a:prstGeom>
                  </pic:spPr>
                </pic:pic>
              </a:graphicData>
            </a:graphic>
          </wp:inline>
        </w:drawing>
      </w:r>
    </w:p>
    <w:p w14:paraId="5ADFED0B">
      <w:pPr>
        <w:shd w:val="clear" w:color="auto" w:fill="auto"/>
        <w:spacing w:line="360" w:lineRule="auto"/>
        <w:jc w:val="left"/>
        <w:textAlignment w:val="center"/>
        <w:rPr>
          <w:sz w:val="21"/>
        </w:rPr>
      </w:pPr>
      <w:r>
        <w:rPr>
          <w:sz w:val="21"/>
        </w:rPr>
        <w:t>21．M、N两点的海水盐度（</w:t>
      </w:r>
      <w:r>
        <w:rPr>
          <w:rFonts w:ascii="Times New Roman" w:eastAsia="Times New Roman" w:hAnsi="Times New Roman" w:cs="Times New Roman"/>
          <w:kern w:val="0"/>
          <w:sz w:val="24"/>
          <w:szCs w:val="24"/>
        </w:rPr>
        <w:t>   </w:t>
      </w:r>
      <w:r>
        <w:rPr>
          <w:sz w:val="21"/>
        </w:rPr>
        <w:t>）</w:t>
      </w:r>
    </w:p>
    <w:p w14:paraId="7130FF93">
      <w:pPr>
        <w:shd w:val="clear" w:color="auto" w:fill="auto"/>
        <w:tabs>
          <w:tab w:val="left" w:pos="4156"/>
        </w:tabs>
        <w:spacing w:line="360" w:lineRule="auto"/>
        <w:ind w:left="380"/>
        <w:jc w:val="left"/>
        <w:textAlignment w:val="center"/>
        <w:rPr>
          <w:sz w:val="21"/>
        </w:rPr>
      </w:pPr>
      <w:r>
        <w:rPr>
          <w:sz w:val="21"/>
        </w:rPr>
        <w:t>A．同季节M大于N</w:t>
      </w:r>
      <w:r>
        <w:rPr>
          <w:sz w:val="21"/>
        </w:rPr>
        <w:tab/>
      </w:r>
      <w:r>
        <w:rPr>
          <w:sz w:val="21"/>
        </w:rPr>
        <w:t>B．M夏季大于冬季</w:t>
      </w:r>
    </w:p>
    <w:p w14:paraId="4E4587BD">
      <w:pPr>
        <w:shd w:val="clear" w:color="auto" w:fill="auto"/>
        <w:tabs>
          <w:tab w:val="left" w:pos="4156"/>
        </w:tabs>
        <w:spacing w:line="360" w:lineRule="auto"/>
        <w:ind w:left="380"/>
        <w:jc w:val="left"/>
        <w:textAlignment w:val="center"/>
        <w:rPr>
          <w:sz w:val="21"/>
        </w:rPr>
      </w:pPr>
      <w:r>
        <w:rPr>
          <w:sz w:val="21"/>
        </w:rPr>
        <w:t>C．N冬夏盐度差更小</w:t>
      </w:r>
      <w:r>
        <w:rPr>
          <w:sz w:val="21"/>
        </w:rPr>
        <w:tab/>
      </w:r>
      <w:r>
        <w:rPr>
          <w:sz w:val="21"/>
        </w:rPr>
        <w:t>D．N受径流影响更大</w:t>
      </w:r>
    </w:p>
    <w:p w14:paraId="3EF71565">
      <w:pPr>
        <w:shd w:val="clear" w:color="auto" w:fill="auto"/>
        <w:spacing w:line="360" w:lineRule="auto"/>
        <w:jc w:val="left"/>
        <w:textAlignment w:val="center"/>
        <w:rPr>
          <w:sz w:val="21"/>
        </w:rPr>
      </w:pPr>
      <w:r>
        <w:rPr>
          <w:sz w:val="21"/>
        </w:rPr>
        <w:t>22．关于P、Q两地的叙述，正确的是（</w:t>
      </w:r>
      <w:r>
        <w:rPr>
          <w:rFonts w:ascii="Times New Roman" w:eastAsia="Times New Roman" w:hAnsi="Times New Roman" w:cs="Times New Roman"/>
          <w:kern w:val="0"/>
          <w:sz w:val="24"/>
          <w:szCs w:val="24"/>
        </w:rPr>
        <w:t>   </w:t>
      </w:r>
      <w:r>
        <w:rPr>
          <w:sz w:val="21"/>
        </w:rPr>
        <w:t>）</w:t>
      </w:r>
    </w:p>
    <w:p w14:paraId="438D5CDB">
      <w:pPr>
        <w:shd w:val="clear" w:color="auto" w:fill="auto"/>
        <w:tabs>
          <w:tab w:val="left" w:pos="4156"/>
        </w:tabs>
        <w:spacing w:line="360" w:lineRule="auto"/>
        <w:ind w:left="380"/>
        <w:jc w:val="left"/>
        <w:textAlignment w:val="center"/>
        <w:rPr>
          <w:sz w:val="21"/>
        </w:rPr>
      </w:pPr>
      <w:r>
        <w:rPr>
          <w:sz w:val="21"/>
        </w:rPr>
        <w:t>A．P地以侵蚀为主</w:t>
      </w:r>
      <w:r>
        <w:rPr>
          <w:sz w:val="21"/>
        </w:rPr>
        <w:tab/>
      </w:r>
      <w:r>
        <w:rPr>
          <w:sz w:val="21"/>
        </w:rPr>
        <w:t>B．Q地以侵蚀为主</w:t>
      </w:r>
    </w:p>
    <w:p w14:paraId="6C00DE01">
      <w:pPr>
        <w:shd w:val="clear" w:color="auto" w:fill="auto"/>
        <w:tabs>
          <w:tab w:val="left" w:pos="4156"/>
        </w:tabs>
        <w:spacing w:line="360" w:lineRule="auto"/>
        <w:ind w:left="380"/>
        <w:jc w:val="left"/>
        <w:textAlignment w:val="center"/>
        <w:rPr>
          <w:sz w:val="21"/>
        </w:rPr>
      </w:pPr>
      <w:r>
        <w:rPr>
          <w:sz w:val="21"/>
        </w:rPr>
        <w:t>C．P地位于隆脊上</w:t>
      </w:r>
      <w:r>
        <w:rPr>
          <w:sz w:val="21"/>
        </w:rPr>
        <w:tab/>
      </w:r>
      <w:r>
        <w:rPr>
          <w:sz w:val="21"/>
        </w:rPr>
        <w:t>D．Q地位于沟槽中</w:t>
      </w:r>
    </w:p>
    <w:p w14:paraId="005EDB68">
      <w:pPr>
        <w:shd w:val="clear" w:color="auto" w:fill="auto"/>
        <w:spacing w:line="360" w:lineRule="auto"/>
        <w:jc w:val="left"/>
        <w:textAlignment w:val="center"/>
        <w:rPr>
          <w:sz w:val="21"/>
        </w:rPr>
      </w:pPr>
      <w:r>
        <w:rPr>
          <w:sz w:val="21"/>
        </w:rPr>
        <w:t>23．发育水下沟槽的动力最可能来自（</w:t>
      </w:r>
      <w:r>
        <w:rPr>
          <w:rFonts w:ascii="Times New Roman" w:eastAsia="Times New Roman" w:hAnsi="Times New Roman" w:cs="Times New Roman"/>
          <w:kern w:val="0"/>
          <w:sz w:val="24"/>
          <w:szCs w:val="24"/>
        </w:rPr>
        <w:t>   </w:t>
      </w:r>
      <w:r>
        <w:rPr>
          <w:sz w:val="21"/>
        </w:rPr>
        <w:t>）</w:t>
      </w:r>
    </w:p>
    <w:p w14:paraId="15B7C8FD">
      <w:pPr>
        <w:shd w:val="clear" w:color="auto" w:fill="auto"/>
        <w:tabs>
          <w:tab w:val="left" w:pos="2078"/>
          <w:tab w:val="left" w:pos="4156"/>
          <w:tab w:val="left" w:pos="6234"/>
        </w:tabs>
        <w:spacing w:line="360" w:lineRule="auto"/>
        <w:ind w:left="380"/>
        <w:jc w:val="left"/>
        <w:textAlignment w:val="center"/>
        <w:rPr>
          <w:sz w:val="21"/>
        </w:rPr>
      </w:pPr>
      <w:r>
        <w:rPr>
          <w:sz w:val="21"/>
        </w:rPr>
        <w:t>A．潮流</w:t>
      </w:r>
      <w:r>
        <w:rPr>
          <w:sz w:val="21"/>
        </w:rPr>
        <w:tab/>
      </w:r>
      <w:r>
        <w:rPr>
          <w:sz w:val="21"/>
        </w:rPr>
        <w:t>B．风浪</w:t>
      </w:r>
      <w:r>
        <w:rPr>
          <w:sz w:val="21"/>
        </w:rPr>
        <w:tab/>
      </w:r>
      <w:r>
        <w:rPr>
          <w:sz w:val="21"/>
        </w:rPr>
        <w:t>C．上升流</w:t>
      </w:r>
      <w:r>
        <w:rPr>
          <w:sz w:val="21"/>
        </w:rPr>
        <w:tab/>
      </w:r>
      <w:r>
        <w:rPr>
          <w:sz w:val="21"/>
        </w:rPr>
        <w:t>D．温度差</w:t>
      </w:r>
    </w:p>
    <w:p w14:paraId="0223E748">
      <w:pPr>
        <w:shd w:val="clear" w:color="auto" w:fill="auto"/>
        <w:tabs>
          <w:tab w:val="left" w:pos="2078"/>
          <w:tab w:val="left" w:pos="4156"/>
          <w:tab w:val="left" w:pos="6234"/>
        </w:tabs>
        <w:spacing w:line="360" w:lineRule="auto"/>
        <w:ind w:left="380"/>
        <w:jc w:val="left"/>
        <w:textAlignment w:val="center"/>
        <w:rPr>
          <w:sz w:val="21"/>
        </w:rPr>
      </w:pPr>
    </w:p>
    <w:p w14:paraId="4042EC37">
      <w:pPr>
        <w:shd w:val="clear" w:color="auto" w:fill="F2F2F2"/>
        <w:spacing w:line="360" w:lineRule="auto"/>
        <w:jc w:val="left"/>
        <w:textAlignment w:val="center"/>
        <w:rPr>
          <w:sz w:val="21"/>
        </w:rPr>
      </w:pPr>
      <w:r>
        <w:rPr>
          <w:sz w:val="21"/>
        </w:rPr>
        <w:t>【答案】21．C    22．A    23．A</w:t>
      </w:r>
    </w:p>
    <w:p w14:paraId="5BC75E10">
      <w:pPr>
        <w:shd w:val="clear" w:color="auto" w:fill="F2F2F2"/>
        <w:spacing w:line="360" w:lineRule="auto"/>
        <w:jc w:val="left"/>
        <w:textAlignment w:val="center"/>
        <w:rPr>
          <w:sz w:val="21"/>
        </w:rPr>
      </w:pPr>
      <w:r>
        <w:rPr>
          <w:sz w:val="21"/>
        </w:rPr>
        <w:t>【详解】21．</w:t>
      </w:r>
      <w:r>
        <w:rPr>
          <w:rFonts w:hint="eastAsia"/>
          <w:sz w:val="21"/>
        </w:rPr>
        <w:t>海水盐度受多种因素影响，其中陆地径流对近海区域盐度影响显著。从图示信息来看，M 点距离长江入海口更近 ，在径流注入过程中，大量淡水对海水起到稀释作用，使得 M 处海水盐度降低；而 N 点距离入海口较远，受陆地径流影响较小，海水盐度相对较高，所以同季节 M 处海水盐度低于 N 处，A、D 错误。长江的径流量存在明显的季节变化，夏季降水丰富，长江径流量大，对入海口处海水盐度的稀释作用更强，海水盐度更低；冬季径流量小，稀释作用弱，盐度相对较高。N 海域远离入海口，受陆地径流的季节性影响小，冬夏季盐度差异也就更小，C 正确，B 错误。</w:t>
      </w:r>
    </w:p>
    <w:p w14:paraId="5D991F30">
      <w:pPr>
        <w:shd w:val="clear" w:color="auto" w:fill="F2F2F2"/>
        <w:spacing w:line="360" w:lineRule="auto"/>
        <w:jc w:val="left"/>
        <w:textAlignment w:val="center"/>
        <w:rPr>
          <w:sz w:val="21"/>
        </w:rPr>
      </w:pPr>
      <w:r>
        <w:rPr>
          <w:sz w:val="21"/>
        </w:rPr>
        <w:t>22．</w:t>
      </w:r>
      <w:r>
        <w:rPr>
          <w:rFonts w:hint="eastAsia"/>
          <w:sz w:val="21"/>
        </w:rPr>
        <w:t>依据材料所给信息，P 地沉积物距今约 1 千年，说明长时间以来该区域以侵蚀作用为主 ，早期沉积物被侵蚀搬运，才会呈现出较古老的沉积物状态，A 正确。Q 地沉积物为现代沉积物，表明该区域目前以沉积作用为主，新的物质不断堆积下来，B 错误。从等深线形态分析，P 地等深线由低值凸向高值，在海底地形中，这种形态代表沟槽地形，C 错误；Q 地等深线由高值凸向低值，对应海底的隆脊地形，D 错误。</w:t>
      </w:r>
    </w:p>
    <w:p w14:paraId="38F20807">
      <w:pPr>
        <w:shd w:val="clear" w:color="auto" w:fill="F2F2F2"/>
        <w:spacing w:line="360" w:lineRule="auto"/>
        <w:jc w:val="left"/>
        <w:textAlignment w:val="center"/>
        <w:rPr>
          <w:sz w:val="21"/>
        </w:rPr>
      </w:pPr>
      <w:r>
        <w:rPr>
          <w:sz w:val="21"/>
        </w:rPr>
        <w:t>23．</w:t>
      </w:r>
      <w:r>
        <w:rPr>
          <w:rFonts w:hint="eastAsia"/>
          <w:sz w:val="21"/>
        </w:rPr>
        <w:t>海底地貌的形成与多种海洋动力因素相关。潮流作为一种在沿海地区较为强劲的海水流动 ，能够持续侵蚀沿岸海底，不断冲刷海底物质，从而促进水下沟槽的发育，A 正确。风浪作用主要集中在海洋表层，对海底地貌的塑造影响有限，并非海底沟槽形成的主要动力，B 错误。上升流主要是海水在垂直方向上的运动，与海底沟槽在水平方向上的侵蚀形成机制不同，不是海底沟槽形成的主要动力，C 错误。温度差虽然能引起海水的部分运动，但并非海水运动的主要驱动力，也不是海底沟槽形成的关键因素，D 错误。</w:t>
      </w:r>
    </w:p>
    <w:p w14:paraId="7C0442AE">
      <w:pPr>
        <w:shd w:val="clear" w:color="auto" w:fill="auto"/>
        <w:spacing w:line="360" w:lineRule="auto"/>
        <w:ind w:firstLine="560"/>
        <w:jc w:val="left"/>
        <w:textAlignment w:val="center"/>
        <w:rPr>
          <w:sz w:val="21"/>
        </w:rPr>
      </w:pPr>
      <w:r>
        <w:rPr>
          <w:rFonts w:ascii="楷体" w:eastAsia="楷体" w:hAnsi="楷体" w:cs="楷体"/>
          <w:sz w:val="21"/>
        </w:rPr>
        <w:t>某天文爱好者测定了当地日出地方时和晨昏线年变化。下图为该地日出地方时年变化曲线图。据此完成下面小题。</w:t>
      </w:r>
    </w:p>
    <w:p w14:paraId="1E73494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924175" cy="1857375"/>
            <wp:effectExtent l="0" t="0" r="0" b="0"/>
            <wp:docPr id="19" name="_x0000_i1043" descr="@@@09f9327a-1167-46ca-b93b-b17fe5a3e7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_x0000_i1043" descr="@@@09f9327a-1167-46ca-b93b-b17fe5a3e7e9"/>
                    <pic:cNvPicPr>
                      <a:picLocks noChangeAspect="1"/>
                    </pic:cNvPicPr>
                  </pic:nvPicPr>
                  <pic:blipFill>
                    <a:blip xmlns:r="http://schemas.openxmlformats.org/officeDocument/2006/relationships" r:embed="rId19"/>
                    <a:stretch>
                      <a:fillRect/>
                    </a:stretch>
                  </pic:blipFill>
                  <pic:spPr>
                    <a:xfrm>
                      <a:off x="0" y="0"/>
                      <a:ext cx="2924175" cy="1857375"/>
                    </a:xfrm>
                    <a:prstGeom prst="rect">
                      <a:avLst/>
                    </a:prstGeom>
                  </pic:spPr>
                </pic:pic>
              </a:graphicData>
            </a:graphic>
          </wp:inline>
        </w:drawing>
      </w:r>
    </w:p>
    <w:p w14:paraId="6CA0EDA2">
      <w:pPr>
        <w:shd w:val="clear" w:color="auto" w:fill="auto"/>
        <w:spacing w:line="360" w:lineRule="auto"/>
        <w:jc w:val="left"/>
        <w:textAlignment w:val="center"/>
        <w:rPr>
          <w:sz w:val="21"/>
        </w:rPr>
      </w:pPr>
      <w:r>
        <w:rPr>
          <w:sz w:val="21"/>
        </w:rPr>
        <w:t>24．若测得b值正好是a值的两倍，则该地年内日出地方时差（单位：小时）最大值为（</w:t>
      </w:r>
      <w:r>
        <w:rPr>
          <w:rFonts w:ascii="Times New Roman" w:eastAsia="Times New Roman" w:hAnsi="Times New Roman" w:cs="Times New Roman"/>
          <w:kern w:val="0"/>
          <w:sz w:val="24"/>
          <w:szCs w:val="24"/>
        </w:rPr>
        <w:t>   </w:t>
      </w:r>
      <w:r>
        <w:rPr>
          <w:sz w:val="21"/>
        </w:rPr>
        <w:t>）</w:t>
      </w:r>
    </w:p>
    <w:p w14:paraId="00EB7FA0">
      <w:pPr>
        <w:shd w:val="clear" w:color="auto" w:fill="auto"/>
        <w:tabs>
          <w:tab w:val="left" w:pos="2078"/>
          <w:tab w:val="left" w:pos="4156"/>
          <w:tab w:val="left" w:pos="6234"/>
        </w:tabs>
        <w:spacing w:line="360" w:lineRule="auto"/>
        <w:ind w:left="380"/>
        <w:jc w:val="left"/>
        <w:textAlignment w:val="center"/>
        <w:rPr>
          <w:sz w:val="21"/>
        </w:rPr>
      </w:pPr>
      <w:r>
        <w:rPr>
          <w:sz w:val="21"/>
        </w:rPr>
        <w:t>A．3</w:t>
      </w:r>
      <w:r>
        <w:rPr>
          <w:sz w:val="21"/>
        </w:rPr>
        <w:tab/>
      </w:r>
      <w:r>
        <w:rPr>
          <w:sz w:val="21"/>
        </w:rPr>
        <w:t>B．4</w:t>
      </w:r>
      <w:r>
        <w:rPr>
          <w:sz w:val="21"/>
        </w:rPr>
        <w:tab/>
      </w:r>
      <w:r>
        <w:rPr>
          <w:sz w:val="21"/>
        </w:rPr>
        <w:t>C．6</w:t>
      </w:r>
      <w:r>
        <w:rPr>
          <w:sz w:val="21"/>
        </w:rPr>
        <w:tab/>
      </w:r>
      <w:r>
        <w:rPr>
          <w:sz w:val="21"/>
        </w:rPr>
        <w:t>D．12</w:t>
      </w:r>
    </w:p>
    <w:p w14:paraId="5074206E">
      <w:pPr>
        <w:shd w:val="clear" w:color="auto" w:fill="auto"/>
        <w:spacing w:line="360" w:lineRule="auto"/>
        <w:jc w:val="left"/>
        <w:textAlignment w:val="center"/>
        <w:rPr>
          <w:sz w:val="21"/>
        </w:rPr>
      </w:pPr>
      <w:r>
        <w:rPr>
          <w:sz w:val="21"/>
        </w:rPr>
        <w:t>25．若K至Q期间过该地晨线作顺时针方向转动，则Q日该爱好者在当地可能观测到（</w:t>
      </w:r>
      <w:r>
        <w:rPr>
          <w:rFonts w:ascii="Times New Roman" w:eastAsia="Times New Roman" w:hAnsi="Times New Roman" w:cs="Times New Roman"/>
          <w:kern w:val="0"/>
          <w:sz w:val="24"/>
          <w:szCs w:val="24"/>
        </w:rPr>
        <w:t>   </w:t>
      </w:r>
      <w:r>
        <w:rPr>
          <w:sz w:val="21"/>
        </w:rPr>
        <w:t>）</w:t>
      </w:r>
    </w:p>
    <w:p w14:paraId="0FBF6758">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48175" cy="1152525"/>
            <wp:effectExtent l="0" t="0" r="0" b="0"/>
            <wp:docPr id="20" name="_x0000_i1044" descr="@@@bc1998e2-f0ee-4091-9373-28b1ee79e54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_x0000_i1044" descr="@@@bc1998e2-f0ee-4091-9373-28b1ee79e54e"/>
                    <pic:cNvPicPr>
                      <a:picLocks noChangeAspect="1"/>
                    </pic:cNvPicPr>
                  </pic:nvPicPr>
                  <pic:blipFill>
                    <a:blip xmlns:r="http://schemas.openxmlformats.org/officeDocument/2006/relationships" r:embed="rId20"/>
                    <a:stretch>
                      <a:fillRect/>
                    </a:stretch>
                  </pic:blipFill>
                  <pic:spPr>
                    <a:xfrm>
                      <a:off x="0" y="0"/>
                      <a:ext cx="4448175" cy="1152525"/>
                    </a:xfrm>
                    <a:prstGeom prst="rect">
                      <a:avLst/>
                    </a:prstGeom>
                  </pic:spPr>
                </pic:pic>
              </a:graphicData>
            </a:graphic>
          </wp:inline>
        </w:drawing>
      </w:r>
    </w:p>
    <w:p w14:paraId="7798058F">
      <w:pPr>
        <w:shd w:val="clear" w:color="auto" w:fill="auto"/>
        <w:tabs>
          <w:tab w:val="left" w:pos="2078"/>
          <w:tab w:val="left" w:pos="4156"/>
          <w:tab w:val="left" w:pos="6234"/>
        </w:tabs>
        <w:spacing w:line="360" w:lineRule="auto"/>
        <w:ind w:left="380"/>
        <w:jc w:val="left"/>
        <w:textAlignment w:val="center"/>
        <w:rPr>
          <w:sz w:val="21"/>
        </w:rPr>
      </w:pPr>
      <w:r>
        <w:rPr>
          <w:sz w:val="21"/>
        </w:rPr>
        <w:t>A．①</w:t>
      </w:r>
      <w:r>
        <w:rPr>
          <w:sz w:val="21"/>
        </w:rPr>
        <w:tab/>
      </w:r>
      <w:r>
        <w:rPr>
          <w:sz w:val="21"/>
        </w:rPr>
        <w:t>B．②</w:t>
      </w:r>
      <w:r>
        <w:rPr>
          <w:sz w:val="21"/>
        </w:rPr>
        <w:tab/>
      </w:r>
      <w:r>
        <w:rPr>
          <w:sz w:val="21"/>
        </w:rPr>
        <w:t>C．③</w:t>
      </w:r>
      <w:r>
        <w:rPr>
          <w:sz w:val="21"/>
        </w:rPr>
        <w:tab/>
      </w:r>
      <w:r>
        <w:rPr>
          <w:sz w:val="21"/>
        </w:rPr>
        <w:t>D．④</w:t>
      </w:r>
    </w:p>
    <w:p w14:paraId="0B7ACDE8">
      <w:pPr>
        <w:shd w:val="clear" w:color="auto" w:fill="auto"/>
        <w:tabs>
          <w:tab w:val="left" w:pos="2078"/>
          <w:tab w:val="left" w:pos="4156"/>
          <w:tab w:val="left" w:pos="6234"/>
        </w:tabs>
        <w:spacing w:line="360" w:lineRule="auto"/>
        <w:ind w:left="380"/>
        <w:jc w:val="left"/>
        <w:textAlignment w:val="center"/>
        <w:rPr>
          <w:sz w:val="21"/>
        </w:rPr>
      </w:pPr>
    </w:p>
    <w:p w14:paraId="4D5937AE">
      <w:pPr>
        <w:shd w:val="clear" w:color="auto" w:fill="F2F2F2"/>
        <w:spacing w:line="360" w:lineRule="auto"/>
        <w:jc w:val="left"/>
        <w:textAlignment w:val="center"/>
        <w:rPr>
          <w:sz w:val="21"/>
        </w:rPr>
      </w:pPr>
      <w:r>
        <w:rPr>
          <w:sz w:val="21"/>
        </w:rPr>
        <w:t>【答案】24．B    25．B</w:t>
      </w:r>
    </w:p>
    <w:p w14:paraId="127D1C6C">
      <w:pPr>
        <w:shd w:val="clear" w:color="auto" w:fill="F2F2F2"/>
        <w:spacing w:line="360" w:lineRule="auto"/>
        <w:jc w:val="left"/>
        <w:textAlignment w:val="center"/>
        <w:rPr>
          <w:sz w:val="21"/>
        </w:rPr>
      </w:pPr>
      <w:r>
        <w:rPr>
          <w:sz w:val="21"/>
        </w:rPr>
        <w:t>【详解】24．</w:t>
      </w:r>
      <w:r>
        <w:rPr>
          <w:rFonts w:hint="eastAsia"/>
          <w:sz w:val="21"/>
        </w:rPr>
        <w:t>依据地球运动的相关知识，某地一年中最早日出地方时和最晚日出地方时关于地方时 6 时呈对称分布 。已知b=2a，结合对称关系可列出等式(6−b)=a。将​b=2a代入等式，得到​(6−2a)=a，通过移项计算​3a=6，可求出​a=2，进而得出b=4。这意味着该地日出地方时最早为 4 时，最晚为 8 时，那么年内日出地方时差值最大值为8−4=4，B 正确，A、C、D 错误。</w:t>
      </w:r>
    </w:p>
    <w:p w14:paraId="592BF2EE">
      <w:pPr>
        <w:shd w:val="clear" w:color="auto" w:fill="F2F2F2"/>
        <w:spacing w:line="360" w:lineRule="auto"/>
        <w:jc w:val="left"/>
        <w:textAlignment w:val="center"/>
        <w:rPr>
          <w:sz w:val="21"/>
        </w:rPr>
      </w:pPr>
      <w:r>
        <w:rPr>
          <w:sz w:val="21"/>
        </w:rPr>
        <w:t>25．</w:t>
      </w:r>
      <w:r>
        <w:rPr>
          <w:rFonts w:hint="eastAsia"/>
          <w:sz w:val="21"/>
        </w:rPr>
        <w:t>当晨线在地球上作顺时针方向转动时，此时间段是从北半球夏至日到北半球冬至日 。其中K点对应北半球夏至日，Q点对应北半球冬至日。题目中提到 “此时该地日出地方时逐渐提前”，由于在该时段内南半球昼长逐渐变长，日出时间提前，所以可判断该地位于南半球。由上题可知，该地年内日出地方时差值最大值为 4，根据日出时间与纬度的关系，可推断该地位于中纬度地区。因为该地位于南半球，正午太阳方位位于正北方向，所以日影应朝向正南，A 错误；在Q日（北半球冬至日，太阳直射南半球），全球有日落的地点，日落方位偏南，南半球中纬度地区应是西南日落，B 符合；Q日太阳直射南半球，当地日出东南方向，日出时日影应朝向西北方向，但这与题目所给条件不符，C 错误；由于该地位于南半球，北极星位于北半球的天空，所以无法观测到北极星，D 错误。</w:t>
      </w:r>
    </w:p>
    <w:p w14:paraId="434E2CAB">
      <w:pPr>
        <w:jc w:val="center"/>
        <w:textAlignment w:val="center"/>
        <w:rPr>
          <w:rFonts w:ascii="黑体" w:eastAsia="黑体" w:hAnsi="黑体" w:cs="黑体"/>
          <w:b/>
          <w:i w:val="0"/>
          <w:color w:val="000000"/>
          <w:sz w:val="30"/>
        </w:rPr>
      </w:pPr>
    </w:p>
    <w:p w14:paraId="3167AFF2">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二、综合题</w:t>
      </w:r>
    </w:p>
    <w:p w14:paraId="2988FD81">
      <w:pPr>
        <w:shd w:val="clear" w:color="auto" w:fill="auto"/>
        <w:spacing w:line="360" w:lineRule="auto"/>
        <w:jc w:val="left"/>
        <w:textAlignment w:val="center"/>
        <w:rPr>
          <w:sz w:val="21"/>
        </w:rPr>
      </w:pPr>
      <w:r>
        <w:rPr>
          <w:sz w:val="21"/>
        </w:rPr>
        <w:t>26．阅读材料，完成下列问题。</w:t>
      </w:r>
    </w:p>
    <w:p w14:paraId="3FDDCD5D">
      <w:pPr>
        <w:shd w:val="clear" w:color="auto" w:fill="auto"/>
        <w:spacing w:line="360" w:lineRule="auto"/>
        <w:ind w:firstLine="560"/>
        <w:jc w:val="left"/>
        <w:textAlignment w:val="center"/>
        <w:rPr>
          <w:sz w:val="21"/>
        </w:rPr>
      </w:pPr>
      <w:r>
        <w:rPr>
          <w:rFonts w:ascii="楷体" w:eastAsia="楷体" w:hAnsi="楷体" w:cs="楷体"/>
          <w:sz w:val="21"/>
        </w:rPr>
        <w:t>材料一：福建以山地和丘陵为主，平原只占总面积的</w:t>
      </w:r>
      <w:r>
        <w:rPr>
          <w:sz w:val="21"/>
        </w:rPr>
        <w:t>10%</w:t>
      </w:r>
      <w:r>
        <w:rPr>
          <w:rFonts w:ascii="楷体" w:eastAsia="楷体" w:hAnsi="楷体" w:cs="楷体"/>
          <w:sz w:val="21"/>
        </w:rPr>
        <w:t>，主要为河谷平原和河流下游冲积平原，是人口和产业的集中分布区，人地矛盾突出。该省是我国的多雨区，降水集中在春夏两季。该省是海洋大省，其海岸为构造下沉式海岸，岸线曲折，岛屿众多且紧靠大陆分布。福建海域属大陆架浅海，渔场面积广阔。下图为福建省略图。</w:t>
      </w:r>
    </w:p>
    <w:p w14:paraId="5FC34EE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29025" cy="2857500"/>
            <wp:effectExtent l="0" t="0" r="0" b="0"/>
            <wp:docPr id="21" name="_x0000_i1045" descr="@@@3788092f6dd843648aa0da7486dd29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_x0000_i1045" descr="@@@3788092f6dd843648aa0da7486dd29b1"/>
                    <pic:cNvPicPr>
                      <a:picLocks noChangeAspect="1"/>
                    </pic:cNvPicPr>
                  </pic:nvPicPr>
                  <pic:blipFill>
                    <a:blip xmlns:r="http://schemas.openxmlformats.org/officeDocument/2006/relationships" r:embed="rId21"/>
                    <a:stretch>
                      <a:fillRect/>
                    </a:stretch>
                  </pic:blipFill>
                  <pic:spPr>
                    <a:xfrm>
                      <a:off x="0" y="0"/>
                      <a:ext cx="3629025" cy="2857500"/>
                    </a:xfrm>
                    <a:prstGeom prst="rect">
                      <a:avLst/>
                    </a:prstGeom>
                  </pic:spPr>
                </pic:pic>
              </a:graphicData>
            </a:graphic>
          </wp:inline>
        </w:drawing>
      </w:r>
    </w:p>
    <w:p w14:paraId="5FAE2354">
      <w:pPr>
        <w:shd w:val="clear" w:color="auto" w:fill="auto"/>
        <w:spacing w:line="360" w:lineRule="auto"/>
        <w:ind w:firstLine="560"/>
        <w:jc w:val="left"/>
        <w:textAlignment w:val="center"/>
        <w:rPr>
          <w:sz w:val="21"/>
        </w:rPr>
      </w:pPr>
      <w:r>
        <w:rPr>
          <w:rFonts w:ascii="楷体" w:eastAsia="楷体" w:hAnsi="楷体" w:cs="楷体"/>
          <w:sz w:val="21"/>
        </w:rPr>
        <w:t>材料二：福建是我国水果生产大省，主要在山地和丘陵的坡地栽种水果，易引发水土流失，故非常重视水土保持。</w:t>
      </w:r>
    </w:p>
    <w:p w14:paraId="1E10EA3D">
      <w:pPr>
        <w:shd w:val="clear" w:color="auto" w:fill="auto"/>
        <w:spacing w:line="360" w:lineRule="auto"/>
        <w:jc w:val="left"/>
        <w:textAlignment w:val="center"/>
        <w:rPr>
          <w:sz w:val="21"/>
        </w:rPr>
      </w:pPr>
      <w:r>
        <w:rPr>
          <w:sz w:val="21"/>
        </w:rPr>
        <w:t>（1）福建发展风电比水电更具优势。试分析修建水库发展水电的不利条件和发展海上风电的有利条件。</w:t>
      </w:r>
    </w:p>
    <w:p w14:paraId="51870A03">
      <w:pPr>
        <w:shd w:val="clear" w:color="auto" w:fill="auto"/>
        <w:spacing w:line="360" w:lineRule="auto"/>
        <w:jc w:val="left"/>
        <w:textAlignment w:val="center"/>
        <w:rPr>
          <w:sz w:val="21"/>
        </w:rPr>
      </w:pPr>
      <w:r>
        <w:rPr>
          <w:sz w:val="21"/>
        </w:rPr>
        <w:t>（2）甲渔场是福建的重要渔场，分析该渔场的自然优势。</w:t>
      </w:r>
    </w:p>
    <w:p w14:paraId="1580F65E">
      <w:pPr>
        <w:shd w:val="clear" w:color="auto" w:fill="auto"/>
        <w:spacing w:line="360" w:lineRule="auto"/>
        <w:jc w:val="left"/>
        <w:textAlignment w:val="center"/>
        <w:rPr>
          <w:sz w:val="21"/>
        </w:rPr>
      </w:pPr>
      <w:r>
        <w:rPr>
          <w:sz w:val="21"/>
        </w:rPr>
        <w:t>（3）说出福建省果树栽种过程中易引发水土流失的原因。</w:t>
      </w:r>
    </w:p>
    <w:p w14:paraId="5BCD2BEA">
      <w:pPr>
        <w:shd w:val="clear" w:color="auto" w:fill="F2F2F2"/>
        <w:spacing w:line="360" w:lineRule="auto"/>
        <w:jc w:val="left"/>
        <w:textAlignment w:val="center"/>
        <w:rPr>
          <w:sz w:val="21"/>
        </w:rPr>
      </w:pPr>
      <w:r>
        <w:rPr>
          <w:sz w:val="21"/>
        </w:rPr>
        <w:t>【答案】（1）修建水库发展水电的不利条件：人口和产业分布较多，修建水库淹没耕地和聚落多，移民搬迁成本高；降水集中在春夏两季，降水季节变化大，导致水库发电量不稳定；多山地丘陵，地质条件复杂，修建水库大坝难度大、成本高且存在安全隐患。</w:t>
      </w:r>
    </w:p>
    <w:p w14:paraId="781D5A92">
      <w:pPr>
        <w:shd w:val="clear" w:color="auto" w:fill="F2F2F2"/>
        <w:spacing w:line="360" w:lineRule="auto"/>
        <w:jc w:val="left"/>
        <w:textAlignment w:val="center"/>
        <w:rPr>
          <w:sz w:val="21"/>
        </w:rPr>
      </w:pPr>
      <w:r>
        <w:rPr>
          <w:sz w:val="21"/>
        </w:rPr>
        <w:t>发展海上风电的有利条件：福建海岸线长且曲折，海域面积广，为海上风电建设提供充足空间；地处沿海，风力资源丰富；靠近东部经济发达地区，电力消费市场广阔；政府重视能源发展，政策支持海上风电建设。</w:t>
      </w:r>
    </w:p>
    <w:p w14:paraId="0E26A8C3">
      <w:pPr>
        <w:shd w:val="clear" w:color="auto" w:fill="F2F2F2"/>
        <w:spacing w:line="360" w:lineRule="auto"/>
        <w:jc w:val="left"/>
        <w:textAlignment w:val="center"/>
        <w:rPr>
          <w:sz w:val="21"/>
        </w:rPr>
      </w:pPr>
      <w:r>
        <w:rPr>
          <w:sz w:val="21"/>
        </w:rPr>
        <w:t>（2）甲渔场位于大陆架浅海区域，光照充足，利于浮游生物生长，为鱼类提供丰富饵料；地处寒暖流交汇，海水搅动，将海底营养物质带到表层，促进浮游生物繁殖；入海河流带来陆地上丰富的营养盐类，进一步增加了海域的饵料；海岸线曲折，岛屿众多，为鱼类提供栖息、产卵和躲避场所。</w:t>
      </w:r>
    </w:p>
    <w:p w14:paraId="5B75EE5A">
      <w:pPr>
        <w:shd w:val="clear" w:color="auto" w:fill="F2F2F2"/>
        <w:spacing w:line="360" w:lineRule="auto"/>
        <w:jc w:val="left"/>
        <w:textAlignment w:val="center"/>
        <w:rPr>
          <w:sz w:val="21"/>
        </w:rPr>
      </w:pPr>
      <w:r>
        <w:rPr>
          <w:sz w:val="21"/>
        </w:rPr>
        <w:t>（3）福建省多山地丘陵，果树栽种在坡地，地形坡度大，水流速度快，侵蚀能力强；降水集中在春夏两季，且多暴雨，雨水对坡面冲刷力大；栽种果树过程中，破坏了原有植被，植被保持水土能力下降；单一作物种植破坏土壤结构，降低土壤抗侵蚀能力等。</w:t>
      </w:r>
    </w:p>
    <w:p w14:paraId="6026CB5E">
      <w:pPr>
        <w:shd w:val="clear" w:color="auto" w:fill="F2F2F2"/>
        <w:spacing w:line="360" w:lineRule="auto"/>
        <w:jc w:val="left"/>
        <w:textAlignment w:val="center"/>
        <w:rPr>
          <w:sz w:val="21"/>
        </w:rPr>
      </w:pPr>
      <w:r>
        <w:rPr>
          <w:sz w:val="21"/>
        </w:rPr>
        <w:t>【详解】（1） 修建水库发展水电的不利条件从淹没问题、发电稳定性、建设难度等方面分析。淹没问题：材料一表明福建平原少且河谷平原是人口产业集中区，修建水库必然淹没大量耕地和聚落，移民搬迁成本较高。发电稳定性：福建降水季节集中，水库蓄水受降水影响大，导致发电不稳定，难以持续稳定供电。建设难度：山地丘陵地形使地质条件复杂，建设水库大坝需要处理复杂地质问题，增加建设成本和施工难度，还存在滑坡、泥石流等威胁大坝安全的隐患。</w:t>
      </w:r>
    </w:p>
    <w:p w14:paraId="2625825B">
      <w:pPr>
        <w:shd w:val="clear" w:color="auto" w:fill="F2F2F2"/>
        <w:spacing w:line="360" w:lineRule="auto"/>
        <w:jc w:val="left"/>
        <w:textAlignment w:val="center"/>
        <w:rPr>
          <w:sz w:val="21"/>
        </w:rPr>
      </w:pPr>
      <w:r>
        <w:rPr>
          <w:sz w:val="21"/>
        </w:rPr>
        <w:t>发展海上风电的有利条件从空间条件、风力资源、市场需求、政策等方面分析。空间条件：福建漫长曲折的海岸线和广阔海域，提供了充足的海上风电建设空间，可大规模安装风力发电机组。风力资源：地处沿海，风力强劲，风能资源丰富，能为风电提供稳定动力来源。市场需求：东部经济发达地区对电力需求大，福建靠近这些地区，海上风电电力输送距离近，市场广阔。政策支持：在国家大力发展清洁能源的背景下，福建政府积极推动海上风电发展，在规划、审批等方面给予政策支持。</w:t>
      </w:r>
    </w:p>
    <w:p w14:paraId="5C99171D">
      <w:pPr>
        <w:shd w:val="clear" w:color="auto" w:fill="F2F2F2"/>
        <w:spacing w:line="360" w:lineRule="auto"/>
        <w:jc w:val="left"/>
        <w:textAlignment w:val="center"/>
        <w:rPr>
          <w:sz w:val="21"/>
        </w:rPr>
      </w:pPr>
      <w:r>
        <w:rPr>
          <w:sz w:val="21"/>
        </w:rPr>
        <w:t>（2）甲渔场的自然优势从饵料、洋流、栖息环境等方面分析。饵料充足：位于大陆架浅海光照能到达海底，利于浮游植物光合作用，大量浮游生物生长为鱼类提供基础饵料；入海河流携带陆地上土壤中的营养盐类，增加海域营养成分，为鱼类提供丰富食物。洋流作用：寒暖流交汇（日本暖流和沿岸寒流）使海水扰动明显，将海底营养盐类带到表层，促进浮游生物繁殖，吸引鱼类聚集。栖息环境：曲折海岸线和众多岛屿形成多样海域环境，为鱼类提供栖息、产卵和躲避敌害的场所，利于鱼类生存繁衍。</w:t>
      </w:r>
    </w:p>
    <w:p w14:paraId="253ABCD5">
      <w:pPr>
        <w:shd w:val="clear" w:color="auto" w:fill="F2F2F2"/>
        <w:spacing w:line="360" w:lineRule="auto"/>
        <w:jc w:val="left"/>
        <w:textAlignment w:val="center"/>
        <w:rPr>
          <w:sz w:val="21"/>
        </w:rPr>
      </w:pPr>
      <w:r>
        <w:rPr>
          <w:sz w:val="21"/>
        </w:rPr>
        <w:t>（3）福建果树种植区的水土流失是自然与人为因素共同作用的结果。自然条件（如陡坡、暴雨）为水土流失提供了潜在动力，而人类活动（如毁林开垦、管理粗放）则直接触发并加剧了这一过程。自然条件：山地丘陵地形坡度大，水流速度快，对坡面土壤冲刷力强，容易带走表层土壤；集中的暴雨，短时间内大量雨水冲击坡面，加剧土壤侵蚀。人为因素：栽种果树过程中，原有植被被破坏，植被根系对土壤的固着作用减弱，地表失去植被保护，水土保持能力下降，土壤易被侵蚀；过度翻耕、单一作物种植导致土壤结构破坏，抗侵蚀能力降低；过量施肥或不当灌溉可能加速土壤酸化或板结，进一步削弱土壤稳定性。</w:t>
      </w:r>
    </w:p>
    <w:p w14:paraId="18B97DAF">
      <w:pPr>
        <w:shd w:val="clear" w:color="auto" w:fill="auto"/>
        <w:spacing w:line="360" w:lineRule="auto"/>
        <w:jc w:val="left"/>
        <w:textAlignment w:val="center"/>
        <w:rPr>
          <w:sz w:val="21"/>
        </w:rPr>
      </w:pPr>
      <w:r>
        <w:rPr>
          <w:sz w:val="21"/>
        </w:rPr>
        <w:t>27．阅读材料，完成下列问题。</w:t>
      </w:r>
    </w:p>
    <w:p w14:paraId="4156C1B0">
      <w:pPr>
        <w:shd w:val="clear" w:color="auto" w:fill="auto"/>
        <w:spacing w:line="360" w:lineRule="auto"/>
        <w:ind w:firstLine="560"/>
        <w:jc w:val="left"/>
        <w:textAlignment w:val="center"/>
        <w:rPr>
          <w:sz w:val="21"/>
        </w:rPr>
      </w:pPr>
      <w:r>
        <w:rPr>
          <w:rFonts w:ascii="楷体" w:eastAsia="楷体" w:hAnsi="楷体" w:cs="楷体"/>
          <w:sz w:val="21"/>
        </w:rPr>
        <w:t>材料一：喀麦隆位于非洲中西部，图</w:t>
      </w:r>
      <w:r>
        <w:rPr>
          <w:sz w:val="21"/>
        </w:rPr>
        <w:t>1</w:t>
      </w:r>
      <w:r>
        <w:rPr>
          <w:rFonts w:ascii="楷体" w:eastAsia="楷体" w:hAnsi="楷体" w:cs="楷体"/>
          <w:sz w:val="21"/>
        </w:rPr>
        <w:t>为该国简图，图中甲、乙两地自然环境迥异。该国金矿主要分布于中部造山带，受断裂带控制。其中丙矿区基岩主要由花岗岩构成，金矿存在于侵入岩脉和接触带中。图</w:t>
      </w:r>
      <w:r>
        <w:rPr>
          <w:sz w:val="21"/>
        </w:rPr>
        <w:t>2</w:t>
      </w:r>
      <w:r>
        <w:rPr>
          <w:rFonts w:ascii="楷体" w:eastAsia="楷体" w:hAnsi="楷体" w:cs="楷体"/>
          <w:sz w:val="21"/>
        </w:rPr>
        <w:t>为丙矿区地质剖面示意图。图</w:t>
      </w:r>
      <w:r>
        <w:rPr>
          <w:sz w:val="21"/>
        </w:rPr>
        <w:t>3</w:t>
      </w:r>
      <w:r>
        <w:rPr>
          <w:rFonts w:ascii="楷体" w:eastAsia="楷体" w:hAnsi="楷体" w:cs="楷体"/>
          <w:sz w:val="21"/>
        </w:rPr>
        <w:t>为丙矿区金矿形成过程图。</w:t>
      </w:r>
    </w:p>
    <w:p w14:paraId="220A9C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905000" cy="2752725"/>
            <wp:effectExtent l="0" t="0" r="0" b="0"/>
            <wp:docPr id="22" name="_x0000_i1046" descr="@@@ff88522b-f0c7-43f5-b934-e5d7329f70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_x0000_i1046" descr="@@@ff88522b-f0c7-43f5-b934-e5d7329f707f"/>
                    <pic:cNvPicPr>
                      <a:picLocks noChangeAspect="1"/>
                    </pic:cNvPicPr>
                  </pic:nvPicPr>
                  <pic:blipFill>
                    <a:blip xmlns:r="http://schemas.openxmlformats.org/officeDocument/2006/relationships" r:embed="rId22"/>
                    <a:stretch>
                      <a:fillRect/>
                    </a:stretch>
                  </pic:blipFill>
                  <pic:spPr>
                    <a:xfrm>
                      <a:off x="0" y="0"/>
                      <a:ext cx="1905000" cy="2752725"/>
                    </a:xfrm>
                    <a:prstGeom prst="rect">
                      <a:avLst/>
                    </a:prstGeom>
                  </pic:spPr>
                </pic:pic>
              </a:graphicData>
            </a:graphic>
          </wp:inline>
        </w:drawing>
      </w: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distT="0" distB="0" distL="114300" distR="114300">
            <wp:extent cx="2876550" cy="2533650"/>
            <wp:effectExtent l="0" t="0" r="0" b="0"/>
            <wp:docPr id="23" name="_x0000_i1047" descr="@@@87ec111d-141e-4642-9c7b-90fc30b643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_x0000_i1047" descr="@@@87ec111d-141e-4642-9c7b-90fc30b643ea"/>
                    <pic:cNvPicPr>
                      <a:picLocks noChangeAspect="1"/>
                    </pic:cNvPicPr>
                  </pic:nvPicPr>
                  <pic:blipFill>
                    <a:blip xmlns:r="http://schemas.openxmlformats.org/officeDocument/2006/relationships" r:embed="rId23"/>
                    <a:stretch>
                      <a:fillRect/>
                    </a:stretch>
                  </pic:blipFill>
                  <pic:spPr>
                    <a:xfrm>
                      <a:off x="0" y="0"/>
                      <a:ext cx="2876550" cy="2533650"/>
                    </a:xfrm>
                    <a:prstGeom prst="rect">
                      <a:avLst/>
                    </a:prstGeom>
                  </pic:spPr>
                </pic:pic>
              </a:graphicData>
            </a:graphic>
          </wp:inline>
        </w:drawing>
      </w:r>
    </w:p>
    <w:p w14:paraId="48B2F0B5">
      <w:pPr>
        <w:shd w:val="clear" w:color="auto" w:fill="auto"/>
        <w:spacing w:line="360" w:lineRule="auto"/>
        <w:ind w:firstLine="560"/>
        <w:jc w:val="left"/>
        <w:textAlignment w:val="center"/>
        <w:rPr>
          <w:sz w:val="21"/>
        </w:rPr>
      </w:pPr>
      <w:r>
        <w:rPr>
          <w:rFonts w:ascii="楷体" w:eastAsia="楷体" w:hAnsi="楷体" w:cs="楷体"/>
          <w:sz w:val="21"/>
        </w:rPr>
        <w:t>材料二：由我国公司承建的克里比港附近海岸有独特的“瀑布入海”景观，河口水面高于海平面约</w:t>
      </w:r>
      <w:r>
        <w:rPr>
          <w:sz w:val="21"/>
        </w:rPr>
        <w:t>30</w:t>
      </w:r>
      <w:r>
        <w:rPr>
          <w:rFonts w:ascii="楷体" w:eastAsia="楷体" w:hAnsi="楷体" w:cs="楷体"/>
          <w:sz w:val="21"/>
        </w:rPr>
        <w:t>米。</w:t>
      </w:r>
    </w:p>
    <w:p w14:paraId="7718DBCF">
      <w:pPr>
        <w:shd w:val="clear" w:color="auto" w:fill="auto"/>
        <w:spacing w:line="360" w:lineRule="auto"/>
        <w:jc w:val="left"/>
        <w:textAlignment w:val="center"/>
        <w:rPr>
          <w:sz w:val="21"/>
        </w:rPr>
      </w:pPr>
      <w:r>
        <w:rPr>
          <w:sz w:val="21"/>
        </w:rPr>
        <w:t>（1）图中乙地自然带为</w:t>
      </w:r>
      <w:r>
        <w:rPr>
          <w:rFonts w:ascii="Times New Roman" w:eastAsia="Times New Roman" w:hAnsi="Times New Roman" w:cs="Times New Roman"/>
          <w:b w:val="0"/>
          <w:sz w:val="21"/>
          <w:u w:val="single"/>
        </w:rPr>
        <w:t xml:space="preserve">       </w:t>
      </w:r>
      <w:r>
        <w:rPr>
          <w:sz w:val="21"/>
        </w:rPr>
        <w:t>。从降水特征角度，分析甲地地带性植被的主要特点</w:t>
      </w:r>
      <w:r>
        <w:rPr>
          <w:rFonts w:ascii="Times New Roman" w:eastAsia="Times New Roman" w:hAnsi="Times New Roman" w:cs="Times New Roman"/>
          <w:b w:val="0"/>
          <w:sz w:val="21"/>
          <w:u w:val="single"/>
        </w:rPr>
        <w:t xml:space="preserve">       </w:t>
      </w:r>
      <w:r>
        <w:rPr>
          <w:sz w:val="21"/>
        </w:rPr>
        <w:t>。</w:t>
      </w:r>
    </w:p>
    <w:p w14:paraId="7DD756B9">
      <w:pPr>
        <w:shd w:val="clear" w:color="auto" w:fill="auto"/>
        <w:spacing w:line="360" w:lineRule="auto"/>
        <w:jc w:val="left"/>
        <w:textAlignment w:val="center"/>
        <w:rPr>
          <w:sz w:val="21"/>
        </w:rPr>
      </w:pPr>
      <w:r>
        <w:rPr>
          <w:sz w:val="21"/>
        </w:rPr>
        <w:t>（2）写出图3中①、②、③对应的内力作用。</w:t>
      </w:r>
    </w:p>
    <w:p w14:paraId="7DDC5F4F">
      <w:pPr>
        <w:shd w:val="clear" w:color="auto" w:fill="auto"/>
        <w:spacing w:line="360" w:lineRule="auto"/>
        <w:jc w:val="left"/>
        <w:textAlignment w:val="center"/>
        <w:rPr>
          <w:sz w:val="21"/>
        </w:rPr>
      </w:pPr>
      <w:r>
        <w:rPr>
          <w:sz w:val="21"/>
        </w:rPr>
        <w:t>（3）简述克里比特殊的海岸地形对港口建设的有利和不利影响。</w:t>
      </w:r>
    </w:p>
    <w:p w14:paraId="16BFE76E">
      <w:pPr>
        <w:shd w:val="clear" w:color="auto" w:fill="F2F2F2"/>
        <w:spacing w:line="360" w:lineRule="auto"/>
        <w:jc w:val="left"/>
        <w:textAlignment w:val="center"/>
        <w:rPr>
          <w:sz w:val="21"/>
        </w:rPr>
      </w:pPr>
      <w:r>
        <w:rPr>
          <w:sz w:val="21"/>
        </w:rPr>
        <w:t>【答案】（1）热带雨林带‌；甲地年降水量较少，降水季节分配不均，湿季多雨，干季少雨，故植被乙草类为主，湿季草类茂盛；干季草类枯黄。</w:t>
      </w:r>
    </w:p>
    <w:p w14:paraId="2240163B">
      <w:pPr>
        <w:shd w:val="clear" w:color="auto" w:fill="F2F2F2"/>
        <w:spacing w:line="360" w:lineRule="auto"/>
        <w:jc w:val="left"/>
        <w:textAlignment w:val="center"/>
        <w:rPr>
          <w:sz w:val="21"/>
        </w:rPr>
      </w:pPr>
      <w:r>
        <w:rPr>
          <w:sz w:val="21"/>
        </w:rPr>
        <w:t>（2）①地壳运动、②岩浆活动、③变质作用。</w:t>
      </w:r>
    </w:p>
    <w:p w14:paraId="7861BC77">
      <w:pPr>
        <w:shd w:val="clear" w:color="auto" w:fill="F2F2F2"/>
        <w:spacing w:line="360" w:lineRule="auto"/>
        <w:jc w:val="left"/>
        <w:textAlignment w:val="center"/>
        <w:rPr>
          <w:sz w:val="21"/>
        </w:rPr>
      </w:pPr>
      <w:r>
        <w:rPr>
          <w:sz w:val="21"/>
        </w:rPr>
        <w:t>（3）有利影响：瀑布入海水流较急，不利于泥沙堆积，水深，利于大型船舶靠岸；海岸线曲折，避风条件好，利于船舶安全停泊。</w:t>
      </w:r>
    </w:p>
    <w:p w14:paraId="507CC469">
      <w:pPr>
        <w:shd w:val="clear" w:color="auto" w:fill="F2F2F2"/>
        <w:spacing w:line="360" w:lineRule="auto"/>
        <w:jc w:val="left"/>
        <w:textAlignment w:val="center"/>
        <w:rPr>
          <w:sz w:val="21"/>
        </w:rPr>
      </w:pPr>
      <w:r>
        <w:rPr>
          <w:sz w:val="21"/>
        </w:rPr>
        <w:t>不利影响：“瀑布入海”形成较大落差，船舶进出港口时，需要克服水流的冲击力，增加航行难度和风险；河口与海洋之间存在水位差，建设连接河口与海洋的航道成本高，且维护难度大。</w:t>
      </w:r>
    </w:p>
    <w:p w14:paraId="703AD72E">
      <w:pPr>
        <w:shd w:val="clear" w:color="auto" w:fill="F2F2F2"/>
        <w:spacing w:line="360" w:lineRule="auto"/>
        <w:jc w:val="left"/>
        <w:textAlignment w:val="center"/>
        <w:rPr>
          <w:sz w:val="21"/>
        </w:rPr>
      </w:pPr>
      <w:r>
        <w:rPr>
          <w:sz w:val="21"/>
        </w:rPr>
        <w:t>【详解】（1）乙地自然带判断：喀麦隆地处非洲中西部，乙地位于几内亚湾沿岸的热带地区纬度低且降水丰富，图中显示年降水量4000mm左右，为热带雨林气候分布区，对应自然带为热带雨林带。</w:t>
      </w:r>
    </w:p>
    <w:p w14:paraId="4FB01465">
      <w:pPr>
        <w:shd w:val="clear" w:color="auto" w:fill="F2F2F2"/>
        <w:spacing w:line="360" w:lineRule="auto"/>
        <w:jc w:val="left"/>
        <w:textAlignment w:val="center"/>
        <w:rPr>
          <w:sz w:val="21"/>
        </w:rPr>
      </w:pPr>
      <w:r>
        <w:rPr>
          <w:sz w:val="21"/>
        </w:rPr>
        <w:t>读图可知，甲地位于8°N-12°N之间，图中显示年降水量在500-1000mm之间，属于热带草原气候，总降水量难以满足森林的生长，植被以草类为主。由于降水季节分配不均，湿季多雨，水分条件较好，草类茂盛。干季少雨，水分条件较差，草木枯黄。</w:t>
      </w:r>
    </w:p>
    <w:p w14:paraId="076FBDF9">
      <w:pPr>
        <w:shd w:val="clear" w:color="auto" w:fill="F2F2F2"/>
        <w:spacing w:line="360" w:lineRule="auto"/>
        <w:jc w:val="left"/>
        <w:textAlignment w:val="center"/>
        <w:rPr>
          <w:sz w:val="21"/>
        </w:rPr>
      </w:pPr>
      <w:r>
        <w:rPr>
          <w:sz w:val="21"/>
        </w:rPr>
        <w:t>（2）内力作用是由地球内部能量（如放射性元素衰变）引发的地质作用。读图可知，①是构造运动形成山地，对应地壳运动；②形成了花岗岩，为岩浆侵入冷凝形成，对应岩浆活动；③热液侵入形成石英岩脉、金矿，对应变质作用。</w:t>
      </w:r>
    </w:p>
    <w:p w14:paraId="254031A8">
      <w:pPr>
        <w:shd w:val="clear" w:color="auto" w:fill="F2F2F2"/>
        <w:spacing w:line="360" w:lineRule="auto"/>
        <w:jc w:val="left"/>
        <w:textAlignment w:val="center"/>
        <w:rPr>
          <w:sz w:val="21"/>
        </w:rPr>
      </w:pPr>
      <w:r>
        <w:rPr>
          <w:sz w:val="21"/>
        </w:rPr>
        <w:t>（3）有利影响：河口水面高于海平面，形成天然落差，入海口水流较急，不利于泥沙堆积，水较深，利于大型船舶停靠；读图可知，该地海岸线较为曲折，形成天然的港湾，受海风和海浪影响小，避风条件好，利于船舶安全停泊。</w:t>
      </w:r>
    </w:p>
    <w:p w14:paraId="08E01C2B">
      <w:pPr>
        <w:shd w:val="clear" w:color="auto" w:fill="F2F2F2"/>
        <w:spacing w:line="360" w:lineRule="auto"/>
        <w:jc w:val="left"/>
        <w:textAlignment w:val="center"/>
        <w:rPr>
          <w:sz w:val="21"/>
        </w:rPr>
      </w:pPr>
      <w:r>
        <w:rPr>
          <w:sz w:val="21"/>
        </w:rPr>
        <w:t>不利影响：“瀑布入海” 形成较大落差，水流湍急、冲击力强，船舶进出港口需克服水流阻力，可能导致航线偏离或动力损耗，增加航行难度；河口与海洋之间的水位差需通过人工疏浚或修建船闸等设施平衡，建设成本高昂；且水流携带泥沙易淤积航道，需定期维护，增加运营负担。</w:t>
      </w:r>
    </w:p>
    <w:p w14:paraId="057C43DD">
      <w:pPr>
        <w:shd w:val="clear" w:color="auto" w:fill="auto"/>
        <w:spacing w:line="360" w:lineRule="auto"/>
        <w:jc w:val="left"/>
        <w:textAlignment w:val="center"/>
        <w:rPr>
          <w:sz w:val="21"/>
        </w:rPr>
      </w:pPr>
      <w:r>
        <w:rPr>
          <w:sz w:val="21"/>
        </w:rPr>
        <w:t>28．阅读材料，完成下列问题。</w:t>
      </w:r>
    </w:p>
    <w:p w14:paraId="19F24351">
      <w:pPr>
        <w:shd w:val="clear" w:color="auto" w:fill="auto"/>
        <w:spacing w:line="360" w:lineRule="auto"/>
        <w:ind w:firstLine="560"/>
        <w:jc w:val="left"/>
        <w:textAlignment w:val="center"/>
        <w:rPr>
          <w:sz w:val="21"/>
        </w:rPr>
      </w:pPr>
      <w:r>
        <w:rPr>
          <w:rFonts w:ascii="楷体" w:eastAsia="楷体" w:hAnsi="楷体" w:cs="楷体"/>
          <w:sz w:val="21"/>
        </w:rPr>
        <w:t>材料：每年春季，我国大陆仍受逐渐减弱的亚洲高压控制。</w:t>
      </w:r>
      <w:r>
        <w:rPr>
          <w:sz w:val="21"/>
        </w:rPr>
        <w:t>4—5</w:t>
      </w:r>
      <w:r>
        <w:rPr>
          <w:rFonts w:ascii="楷体" w:eastAsia="楷体" w:hAnsi="楷体" w:cs="楷体"/>
          <w:sz w:val="21"/>
        </w:rPr>
        <w:t>月，黄海北部海面常出现小型冷气流辐散中心。洞庭湖流域是水稻种植重要地区，有的年份</w:t>
      </w:r>
      <w:r>
        <w:rPr>
          <w:sz w:val="21"/>
        </w:rPr>
        <w:t>3</w:t>
      </w:r>
      <w:r>
        <w:rPr>
          <w:rFonts w:ascii="楷体" w:eastAsia="楷体" w:hAnsi="楷体" w:cs="楷体"/>
          <w:sz w:val="21"/>
        </w:rPr>
        <w:t>月就会提前受副高西侧气流影响。早稻田间育秧要求</w:t>
      </w:r>
      <w:r>
        <w:rPr>
          <w:sz w:val="21"/>
        </w:rPr>
        <w:t>3—5</w:t>
      </w:r>
      <w:r>
        <w:rPr>
          <w:rFonts w:ascii="楷体" w:eastAsia="楷体" w:hAnsi="楷体" w:cs="楷体"/>
          <w:sz w:val="21"/>
        </w:rPr>
        <w:t>日连续晴朗且气温大于</w:t>
      </w:r>
      <w:r>
        <w:rPr>
          <w:sz w:val="21"/>
        </w:rPr>
        <w:t>10℃</w:t>
      </w:r>
      <w:r>
        <w:rPr>
          <w:rFonts w:ascii="楷体" w:eastAsia="楷体" w:hAnsi="楷体" w:cs="楷体"/>
          <w:sz w:val="21"/>
        </w:rPr>
        <w:t>天气，若遇天气不好，会造成烂秧。图</w:t>
      </w:r>
      <w:r>
        <w:rPr>
          <w:sz w:val="21"/>
        </w:rPr>
        <w:t>1</w:t>
      </w:r>
      <w:r>
        <w:rPr>
          <w:rFonts w:ascii="楷体" w:eastAsia="楷体" w:hAnsi="楷体" w:cs="楷体"/>
          <w:sz w:val="21"/>
        </w:rPr>
        <w:t>为我国某区域略图。图</w:t>
      </w:r>
      <w:r>
        <w:rPr>
          <w:sz w:val="21"/>
        </w:rPr>
        <w:t>2</w:t>
      </w:r>
      <w:r>
        <w:rPr>
          <w:rFonts w:ascii="楷体" w:eastAsia="楷体" w:hAnsi="楷体" w:cs="楷体"/>
          <w:sz w:val="21"/>
        </w:rPr>
        <w:t>为单、双季稻投入产出对比图。图</w:t>
      </w:r>
      <w:r>
        <w:rPr>
          <w:sz w:val="21"/>
        </w:rPr>
        <w:t>3</w:t>
      </w:r>
      <w:r>
        <w:rPr>
          <w:rFonts w:ascii="楷体" w:eastAsia="楷体" w:hAnsi="楷体" w:cs="楷体"/>
          <w:sz w:val="21"/>
        </w:rPr>
        <w:t>为单、双季稻生长期差异图。</w:t>
      </w:r>
    </w:p>
    <w:p w14:paraId="664AE18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2604770"/>
            <wp:effectExtent l="0" t="0" r="0" b="0"/>
            <wp:docPr id="24" name="_x0000_i1048" descr="@@@33a5136dc8d34a7cb900b0cee3de2f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_x0000_i1048" descr="@@@33a5136dc8d34a7cb900b0cee3de2fb7"/>
                    <pic:cNvPicPr>
                      <a:picLocks noChangeAspect="1"/>
                    </pic:cNvPicPr>
                  </pic:nvPicPr>
                  <pic:blipFill>
                    <a:blip xmlns:r="http://schemas.openxmlformats.org/officeDocument/2006/relationships" r:embed="rId24"/>
                    <a:stretch>
                      <a:fillRect/>
                    </a:stretch>
                  </pic:blipFill>
                  <pic:spPr>
                    <a:xfrm>
                      <a:off x="0" y="0"/>
                      <a:ext cx="5276215" cy="2604770"/>
                    </a:xfrm>
                    <a:prstGeom prst="rect">
                      <a:avLst/>
                    </a:prstGeom>
                  </pic:spPr>
                </pic:pic>
              </a:graphicData>
            </a:graphic>
          </wp:inline>
        </w:drawing>
      </w:r>
    </w:p>
    <w:p w14:paraId="3CA301C5">
      <w:pPr>
        <w:shd w:val="clear" w:color="auto" w:fill="auto"/>
        <w:spacing w:line="360" w:lineRule="auto"/>
        <w:jc w:val="left"/>
        <w:textAlignment w:val="center"/>
        <w:rPr>
          <w:sz w:val="21"/>
        </w:rPr>
      </w:pPr>
      <w:r>
        <w:rPr>
          <w:sz w:val="21"/>
        </w:rPr>
        <w:t>（1）简述造成洞庭湖流域早稻烂秧的天气特征，并指出相应的天气系统。</w:t>
      </w:r>
    </w:p>
    <w:p w14:paraId="2FC2512D">
      <w:pPr>
        <w:shd w:val="clear" w:color="auto" w:fill="auto"/>
        <w:spacing w:line="360" w:lineRule="auto"/>
        <w:jc w:val="left"/>
        <w:textAlignment w:val="center"/>
        <w:rPr>
          <w:sz w:val="21"/>
        </w:rPr>
      </w:pPr>
      <w:r>
        <w:rPr>
          <w:sz w:val="21"/>
        </w:rPr>
        <w:t>（2）从1月到4月，图示内陆地区气温升高速度比沿海</w:t>
      </w:r>
      <w:r>
        <w:rPr>
          <w:rFonts w:ascii="Times New Roman" w:eastAsia="Times New Roman" w:hAnsi="Times New Roman" w:cs="Times New Roman"/>
          <w:b w:val="0"/>
          <w:sz w:val="21"/>
          <w:u w:val="single"/>
        </w:rPr>
        <w:t xml:space="preserve">       </w:t>
      </w:r>
      <w:r>
        <w:rPr>
          <w:sz w:val="21"/>
        </w:rPr>
        <w:t>，从海陆位置和天气角度分析两地差异的成因</w:t>
      </w:r>
      <w:r>
        <w:rPr>
          <w:rFonts w:ascii="Times New Roman" w:eastAsia="Times New Roman" w:hAnsi="Times New Roman" w:cs="Times New Roman"/>
          <w:b w:val="0"/>
          <w:sz w:val="21"/>
          <w:u w:val="single"/>
        </w:rPr>
        <w:t xml:space="preserve">       </w:t>
      </w:r>
      <w:r>
        <w:rPr>
          <w:sz w:val="21"/>
        </w:rPr>
        <w:t>。</w:t>
      </w:r>
    </w:p>
    <w:p w14:paraId="1F0D8BE6">
      <w:pPr>
        <w:shd w:val="clear" w:color="auto" w:fill="auto"/>
        <w:spacing w:line="360" w:lineRule="auto"/>
        <w:jc w:val="left"/>
        <w:textAlignment w:val="center"/>
        <w:rPr>
          <w:sz w:val="21"/>
        </w:rPr>
      </w:pPr>
      <w:r>
        <w:rPr>
          <w:sz w:val="21"/>
        </w:rPr>
        <w:t>（3）甲地气温年较差较相邻东西两侧大，从地形和季风角度简析其成因。</w:t>
      </w:r>
    </w:p>
    <w:p w14:paraId="412832C8">
      <w:pPr>
        <w:shd w:val="clear" w:color="auto" w:fill="auto"/>
        <w:spacing w:line="360" w:lineRule="auto"/>
        <w:jc w:val="left"/>
        <w:textAlignment w:val="center"/>
        <w:rPr>
          <w:sz w:val="21"/>
        </w:rPr>
      </w:pPr>
      <w:r>
        <w:rPr>
          <w:sz w:val="21"/>
        </w:rPr>
        <w:t>（4）长江中下游地区存在单季稻和双季稻两种种植方式，你认为哪种方式更好？请阐述理由。</w:t>
      </w:r>
    </w:p>
    <w:p w14:paraId="05A1CDAD">
      <w:pPr>
        <w:shd w:val="clear" w:color="auto" w:fill="F2F2F2"/>
        <w:spacing w:line="360" w:lineRule="auto"/>
        <w:jc w:val="left"/>
        <w:textAlignment w:val="center"/>
        <w:rPr>
          <w:sz w:val="21"/>
        </w:rPr>
      </w:pPr>
      <w:r>
        <w:rPr>
          <w:sz w:val="21"/>
        </w:rPr>
        <w:t>【答案】（1）阴雨天气，气温较低（低于10℃）；冷锋</w:t>
      </w:r>
    </w:p>
    <w:p w14:paraId="61C4F6C0">
      <w:pPr>
        <w:shd w:val="clear" w:color="auto" w:fill="F2F2F2"/>
        <w:spacing w:line="360" w:lineRule="auto"/>
        <w:jc w:val="left"/>
        <w:textAlignment w:val="center"/>
        <w:rPr>
          <w:sz w:val="21"/>
        </w:rPr>
      </w:pPr>
      <w:r>
        <w:rPr>
          <w:sz w:val="21"/>
        </w:rPr>
        <w:t>（2）快；内陆地区距海较远、升温快，沿海地区升温慢；内陆地区降水较少、晴天多，沿海地区多阴雨、云雾天气。</w:t>
      </w:r>
    </w:p>
    <w:p w14:paraId="0A0C9D0B">
      <w:pPr>
        <w:shd w:val="clear" w:color="auto" w:fill="F2F2F2"/>
        <w:spacing w:line="360" w:lineRule="auto"/>
        <w:jc w:val="left"/>
        <w:textAlignment w:val="center"/>
        <w:rPr>
          <w:sz w:val="21"/>
        </w:rPr>
      </w:pPr>
      <w:r>
        <w:rPr>
          <w:sz w:val="21"/>
        </w:rPr>
        <w:t>（3）甲地地处山谷中，地势低洼、地形封闭；夏季风（东南风）下沉进入谷地，增温明显；冬季风深入谷地，且不易扩散，降温明显。</w:t>
      </w:r>
    </w:p>
    <w:p w14:paraId="47EE26B0">
      <w:pPr>
        <w:shd w:val="clear" w:color="auto" w:fill="F2F2F2"/>
        <w:spacing w:line="360" w:lineRule="auto"/>
        <w:jc w:val="left"/>
        <w:textAlignment w:val="center"/>
        <w:rPr>
          <w:sz w:val="21"/>
        </w:rPr>
      </w:pPr>
      <w:r>
        <w:rPr>
          <w:sz w:val="21"/>
        </w:rPr>
        <w:t>（4）观点一：种植双季稻。理由：年产量更高；充分利用光热、水、土地等自然资源；经济效益显著。</w:t>
      </w:r>
    </w:p>
    <w:p w14:paraId="4405CC8D">
      <w:pPr>
        <w:shd w:val="clear" w:color="auto" w:fill="F2F2F2"/>
        <w:spacing w:line="360" w:lineRule="auto"/>
        <w:jc w:val="left"/>
        <w:textAlignment w:val="center"/>
        <w:rPr>
          <w:sz w:val="21"/>
        </w:rPr>
      </w:pPr>
      <w:r>
        <w:rPr>
          <w:sz w:val="21"/>
        </w:rPr>
        <w:t>观点二：种植单季稻。理由：生长周期较长，水稻品质较高；避免自然灾害带来的早春烂秧等影响；一年中部分时间休耕，保持土地生产力；减少化肥等投入，降低生产成本。</w:t>
      </w:r>
    </w:p>
    <w:p w14:paraId="78141C8F">
      <w:pPr>
        <w:shd w:val="clear" w:color="auto" w:fill="F2F2F2"/>
        <w:spacing w:line="360" w:lineRule="auto"/>
        <w:jc w:val="left"/>
        <w:textAlignment w:val="center"/>
        <w:rPr>
          <w:sz w:val="21"/>
        </w:rPr>
      </w:pPr>
      <w:r>
        <w:rPr>
          <w:sz w:val="21"/>
        </w:rPr>
        <w:t>【详解】（1）结合材料可知，早稻田间育秧要求3-5日连续晴朗且气温大于10℃天气，如果出现烂秧现象，意味着当地可能出现阴雨天气或气温小于10℃的天气。黄海北部海面常出现小型冷气流辐散中心，辐散气流向西南方向运动至鄱阳湖地区，形成冷气团；3月提前受副高西侧气流影响，为洞庭湖流域带来从南向北的辐散气流，形成暖气团。冷暖气团在洞庭湖流域相遇，形成冷锋，带来降温、阴雨天气，导致早稻出现烂秧现象。</w:t>
      </w:r>
    </w:p>
    <w:p w14:paraId="70BB42FD">
      <w:pPr>
        <w:shd w:val="clear" w:color="auto" w:fill="F2F2F2"/>
        <w:spacing w:line="360" w:lineRule="auto"/>
        <w:jc w:val="left"/>
        <w:textAlignment w:val="center"/>
        <w:rPr>
          <w:sz w:val="21"/>
        </w:rPr>
      </w:pPr>
      <w:r>
        <w:rPr>
          <w:sz w:val="21"/>
        </w:rPr>
        <w:t>（2）结合材料及所学知识，1月到4月，太阳直射点向北移动，图示区域气温回升。受海陆热力性质差异和天气的影响，内陆地区距离海洋较远、水汽较少，多晴朗天气，气温升高速度较快；沿海地区受海洋调节作用更加显著，水汽充足、多阴雨天气，气温升高速度较慢。</w:t>
      </w:r>
    </w:p>
    <w:p w14:paraId="0B467957">
      <w:pPr>
        <w:shd w:val="clear" w:color="auto" w:fill="F2F2F2"/>
        <w:spacing w:line="360" w:lineRule="auto"/>
        <w:jc w:val="left"/>
        <w:textAlignment w:val="center"/>
        <w:rPr>
          <w:sz w:val="21"/>
        </w:rPr>
      </w:pPr>
      <w:r>
        <w:rPr>
          <w:sz w:val="21"/>
        </w:rPr>
        <w:t>（3）甲地气温年较差较相邻东西两侧大，意味着甲地夏季气温更高、冬季气温更低。结合材料及所学知识，甲地位于洞庭湖南侧河谷中，地势较低且地形封闭，气流一旦进入甲地便不易扩散。夏季，洞庭湖流域受东南季风的影响，甲地河谷大致呈南北走向、与季风走向垂直，季风沿着谷地东侧山坡下沉进入山谷，增温效果明显；受封闭地形影响，加剧增温幅度。冬季，洞庭湖流域受偏北的冬季风影响，冬季风沿着河谷深入甲地，带来降温作用；受封闭地形影响，冷气流不易扩散，导致温度更低。在地形和季风的共同作用下，甲地气温年较差更大。</w:t>
      </w:r>
    </w:p>
    <w:p w14:paraId="5972CB88">
      <w:pPr>
        <w:shd w:val="clear" w:color="auto" w:fill="F2F2F2"/>
        <w:spacing w:line="360" w:lineRule="auto"/>
        <w:jc w:val="left"/>
        <w:textAlignment w:val="center"/>
        <w:rPr>
          <w:sz w:val="21"/>
        </w:rPr>
      </w:pPr>
      <w:r>
        <w:rPr>
          <w:sz w:val="21"/>
        </w:rPr>
        <w:t>（4）本题属于开放性试题，任选观点，言之有理即可。</w:t>
      </w:r>
    </w:p>
    <w:p w14:paraId="549E2C4B">
      <w:pPr>
        <w:shd w:val="clear" w:color="auto" w:fill="F2F2F2"/>
        <w:spacing w:line="360" w:lineRule="auto"/>
        <w:jc w:val="left"/>
        <w:textAlignment w:val="center"/>
        <w:rPr>
          <w:sz w:val="21"/>
        </w:rPr>
      </w:pPr>
      <w:r>
        <w:rPr>
          <w:sz w:val="21"/>
        </w:rPr>
        <w:t>观点一：种植双季稻。结合图示信息可知，若种植双季稻，生产周期从3月持续至10月，可以更加充分利用当地的光热、水土等自然资源，提高资源的利用率。双季稻一年可以收获两次，可以获得更高的水稻产量，保证粮食供应。根据图2可知，种植双季稻尽管投入增加，但净收益更高（投入产出比更高）。</w:t>
      </w:r>
    </w:p>
    <w:p w14:paraId="2E90FFDF">
      <w:pPr>
        <w:shd w:val="clear" w:color="auto" w:fill="F2F2F2"/>
        <w:spacing w:line="360" w:lineRule="auto"/>
        <w:jc w:val="left"/>
        <w:textAlignment w:val="center"/>
        <w:rPr>
          <w:sz w:val="21"/>
        </w:rPr>
      </w:pPr>
      <w:r>
        <w:rPr>
          <w:sz w:val="21"/>
        </w:rPr>
        <w:t>观点二：种植单季稻。与双季稻相比，种植单季稻生产周期明显缩短，土地休养生息的时间更长，可以更好的维持土地生产力，提升生态效益。单季稻的生产周期长于双季稻中每一茬水稻的生长周期，有机质积累的时间更长，水稻的品质更高。与双季稻相比，种植单季稻需要投入的农药、化肥等更少，节约生产成本。另外，单季稻的生产从4-5月持续到9-10月，有效避免早春寒冷天气带来的早稻烂秧等不利影响，生产风险更小。</w:t>
      </w:r>
    </w:p>
    <w:p w14:paraId="6E9A025B">
      <w:pPr>
        <w:shd w:val="clear" w:color="auto" w:fill="F2F2F2"/>
        <w:spacing w:line="360" w:lineRule="auto"/>
        <w:jc w:val="left"/>
        <w:textAlignment w:val="center"/>
        <w:rPr>
          <w:sz w:val="21"/>
        </w:rPr>
      </w:pPr>
    </w:p>
    <w:sectPr>
      <w:footerReference w:type="even" r:id="rId25"/>
      <w:footerReference w:type="default" r:id="rId26"/>
      <w:pgSz w:w="11907" w:h="16839"/>
      <w:pgMar w:top="1440" w:right="1800" w:bottom="1440" w:left="1800" w:header="600" w:footer="500" w:gutter="0"/>
      <w:cols w:num="1" w:sep="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18</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19</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19</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19</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doNotTrackMoves/>
  <w:documentProtection w:edit="trackedChanges" w:enforcement="0"/>
  <w:defaultTabStop w:val="420"/>
  <w:evenAndOddHeaders/>
  <w:drawingGridHorizontalSpacing w:val="105"/>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278E3A25"/>
    <w:rsid w:val="67F94E89"/>
    <w:rsid w:val="739A13F9"/>
  </w:rsids>
  <m:mathPr>
    <m:mathFont m:val="Cambria Math"/>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0"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uiPriority w:val="99"/>
    <w:unhideWhenUsed/>
    <w:pPr>
      <w:tabs>
        <w:tab w:val="center" w:pos="4153"/>
        <w:tab w:val="right" w:pos="8306"/>
      </w:tabs>
      <w:snapToGrid w:val="0"/>
      <w:jc w:val="left"/>
    </w:pPr>
    <w:rPr>
      <w:sz w:val="18"/>
      <w:szCs w:val="18"/>
    </w:rPr>
  </w:style>
  <w:style w:type="paragraph" w:styleId="Header">
    <w:name w:val="header"/>
    <w:basedOn w:val="Normal"/>
    <w:uiPriority w:val="99"/>
    <w:unhideWhenUsed/>
    <w:qFormat/>
    <w:pPr>
      <w:pBdr>
        <w:bottom w:val="single" w:sz="6" w:space="1" w:color="auto"/>
      </w:pBdr>
      <w:tabs>
        <w:tab w:val="center" w:pos="4153"/>
        <w:tab w:val="right" w:pos="8306"/>
      </w:tabs>
      <w:snapToGrid w:val="0"/>
      <w:jc w:val="center"/>
    </w:pPr>
    <w:rPr>
      <w:sz w:val="18"/>
      <w:szCs w:val="18"/>
    </w:rPr>
  </w:style>
  <w:style w:type="table" w:styleId="TableGrid">
    <w:name w:val="Table Grid"/>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页眉 Char"/>
    <w:basedOn w:val="DefaultParagraphFont"/>
    <w:uiPriority w:val="99"/>
    <w:rPr>
      <w:sz w:val="18"/>
      <w:szCs w:val="18"/>
    </w:rPr>
  </w:style>
  <w:style w:type="character" w:customStyle="1" w:styleId="Char0">
    <w:name w:val="页脚 Char"/>
    <w:basedOn w:val="DefaultParagraphFont"/>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3.png" /><Relationship Id="rId11" Type="http://schemas.openxmlformats.org/officeDocument/2006/relationships/image" Target="media/image4.png" /><Relationship Id="rId12" Type="http://schemas.openxmlformats.org/officeDocument/2006/relationships/image" Target="media/image5.png" /><Relationship Id="rId13" Type="http://schemas.openxmlformats.org/officeDocument/2006/relationships/image" Target="media/image6.png" /><Relationship Id="rId14" Type="http://schemas.openxmlformats.org/officeDocument/2006/relationships/image" Target="media/image7.png" /><Relationship Id="rId15" Type="http://schemas.openxmlformats.org/officeDocument/2006/relationships/image" Target="media/image8.png" /><Relationship Id="rId16" Type="http://schemas.openxmlformats.org/officeDocument/2006/relationships/image" Target="media/image9.png" /><Relationship Id="rId17" Type="http://schemas.openxmlformats.org/officeDocument/2006/relationships/image" Target="media/image10.png" /><Relationship Id="rId18" Type="http://schemas.openxmlformats.org/officeDocument/2006/relationships/image" Target="media/image11.png" /><Relationship Id="rId19" Type="http://schemas.openxmlformats.org/officeDocument/2006/relationships/image" Target="media/image12.png" /><Relationship Id="rId2" Type="http://schemas.openxmlformats.org/officeDocument/2006/relationships/webSettings" Target="webSettings.xml" /><Relationship Id="rId20" Type="http://schemas.openxmlformats.org/officeDocument/2006/relationships/image" Target="media/image13.png" /><Relationship Id="rId21" Type="http://schemas.openxmlformats.org/officeDocument/2006/relationships/image" Target="media/image14.png" /><Relationship Id="rId22" Type="http://schemas.openxmlformats.org/officeDocument/2006/relationships/image" Target="media/image15.png" /><Relationship Id="rId23" Type="http://schemas.openxmlformats.org/officeDocument/2006/relationships/image" Target="media/image16.png" /><Relationship Id="rId24" Type="http://schemas.openxmlformats.org/officeDocument/2006/relationships/image" Target="media/image17.png" /><Relationship Id="rId25" Type="http://schemas.openxmlformats.org/officeDocument/2006/relationships/footer" Target="footer1.xml" /><Relationship Id="rId26" Type="http://schemas.openxmlformats.org/officeDocument/2006/relationships/footer" Target="footer2.xml" /><Relationship Id="rId27" Type="http://schemas.openxmlformats.org/officeDocument/2006/relationships/theme" Target="theme/theme1.xml" /><Relationship Id="rId28"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customXml" Target="../customXml/item2.xml" /><Relationship Id="rId6" Type="http://schemas.openxmlformats.org/officeDocument/2006/relationships/customXml" Target="../customXml/item3.xml" /><Relationship Id="rId7" Type="http://schemas.openxmlformats.org/officeDocument/2006/relationships/customXml" Target="../customXml/item4.xml" /><Relationship Id="rId8" Type="http://schemas.openxmlformats.org/officeDocument/2006/relationships/image" Target="media/image1.png" /><Relationship Id="rId9" Type="http://schemas.openxmlformats.org/officeDocument/2006/relationships/image" Target="media/image2.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_rels/item2.xml.rels>&#65279;<?xml version="1.0" encoding="utf-8" standalone="yes"?><Relationships xmlns="http://schemas.openxmlformats.org/package/2006/relationships"><Relationship Id="rId1" Type="http://schemas.openxmlformats.org/officeDocument/2006/relationships/customXmlProps" Target="itemProps2.xml" /></Relationships>
</file>

<file path=customXml/_rels/item3.xml.rels>&#65279;<?xml version="1.0" encoding="utf-8" standalone="yes"?><Relationships xmlns="http://schemas.openxmlformats.org/package/2006/relationships"><Relationship Id="rId1" Type="http://schemas.openxmlformats.org/officeDocument/2006/relationships/customXmlProps" Target="itemProps3.xml" /></Relationships>
</file>

<file path=customXml/_rels/item4.xml.rels>&#65279;<?xml version="1.0" encoding="utf-8" standalone="yes"?><Relationships xmlns="http://schemas.openxmlformats.org/package/2006/relationships"><Relationship Id="rId1" Type="http://schemas.openxmlformats.org/officeDocument/2006/relationships/customXmlProps" Target="itemProps4.xml" /></Relationships>
</file>

<file path=customXml/item1.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试题网</cp:lastModifiedBy>
  <dcterms:modified xsi:type="dcterms:W3CDTF">2025-06-25T01:13:20Z</dcterms:modified>
  <cp:revision>18</cp:revision>
</cp:coreProperties>
</file>

<file path=customXml/item2.xml><?xml version="1.0" encoding="utf-8"?>
<Properties xmlns="http://schemas.openxmlformats.org/officeDocument/2006/extended-properties" xmlns:vt="http://schemas.openxmlformats.org/officeDocument/2006/docPropsVTypes">
  <Template>Normal.dotm</Template>
  <Pages>19</Pages>
  <Words>1797</Words>
  <Characters>1861</Characters>
  <Lines>0</Lines>
  <Paragraphs>0</Paragraphs>
  <TotalTime>3</TotalTime>
  <ScaleCrop>false</ScaleCrop>
  <LinksUpToDate>false</LinksUpToDate>
  <CharactersWithSpaces>1931</CharactersWithSpaces>
  <Application>WPS Office_12.1.0.21915_F1E327BC-269C-435d-A152-05C5408002CA</Application>
  <DocSecurity>0</DocSecurity>
</Properties>
</file>

<file path=customXml/item3.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ba6071dfcf3d4f81bf7e68c31a51b725ndi4ntcynjk4nw</vt:lpwstr>
  </property>
  <property fmtid="{D5CDD505-2E9C-101B-9397-08002B2CF9AE}" pid="4" name="KSOTemplateDocerSaveRecord">
    <vt:lpwstr>eyJoZGlkIjoiY2VlNjhiYjE2M2Y1ZjhlZDY1Y2QyY2Y4ZTY2NjI1NmYiLCJ1c2VySWQiOiIyOTg1MjA1MzgifQ==</vt:lpwstr>
  </property>
  <property fmtid="{D5CDD505-2E9C-101B-9397-08002B2CF9AE}" pid="5" name="KSOProductBuildVer">
    <vt:lpwstr>2052-12.1.0.21915</vt:lpwstr>
  </property>
  <property fmtid="{D5CDD505-2E9C-101B-9397-08002B2CF9AE}" pid="6" name="ICV">
    <vt:lpwstr>E7376B2E418945ABB94DB7E6B0804EDC_12</vt:lpwstr>
  </property>
</Properties>
</file>

<file path=customXml/item4.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84ff12f4-e9b0-4898-bdba-62d600a3a0d0}">
  <ds:schemaRefs/>
</ds:datastoreItem>
</file>

<file path=customXml/itemProps2.xml><?xml version="1.0" encoding="utf-8"?>
<ds:datastoreItem xmlns:ds="http://schemas.openxmlformats.org/officeDocument/2006/customXml" ds:itemID="{900b38e4-bdd4-4bb5-a7f4-22b5ccff1ce8}">
  <ds:schemaRefs/>
</ds:datastoreItem>
</file>

<file path=customXml/itemProps3.xml><?xml version="1.0" encoding="utf-8"?>
<ds:datastoreItem xmlns:ds="http://schemas.openxmlformats.org/officeDocument/2006/customXml" ds:itemID="{f3aa2e30-e74f-454d-826f-8e4edc7675b3}">
  <ds:schemaRefs/>
</ds:datastoreItem>
</file>

<file path=customXml/itemProps4.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otalTime>0</TotalTime>
  <Pages>19</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2025年6月普通高校招生选考科目考试(浙江卷)地理试题（解析版）.docx</dc:title>
  <cp:revision>0</cp:revision>
  <cp:category>docx</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E00E90106E3D430F8FD9B7D58E80FEFC_12</vt:lpwstr>
  </property>
  <property fmtid="{D5CDD505-2E9C-101B-9397-08002B2CF9AE}" pid="3" name="KSOProductBuildVer">
    <vt:lpwstr>2052-12.1.0.21915</vt:lpwstr>
  </property>
  <property fmtid="{D5CDD505-2E9C-101B-9397-08002B2CF9AE}" pid="4" name="KSOTemplateDocerSaveRecord">
    <vt:lpwstr>eyJoZGlkIjoiY2VlNjhiYjE2M2Y1ZjhlZDY1Y2QyY2Y4ZTY2NjI1NmYiLCJ1c2VySWQiOiIyOTg1MjA1MzgifQ==</vt:lpwstr>
  </property>
</Properties>
</file>