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1.1.0 -->
  <w:body>
    <w:p>
      <w:pPr>
        <w:pStyle w:val="subTitleStyle"/>
        <w:spacing w:after="100" w:afterAutospacing="0"/>
        <w:jc w:val="center"/>
      </w:pPr>
      <w:r>
        <w:t>2025年普通高中学业水平选择性考试（北京卷）地理试题（解析版）</w:t>
      </w:r>
    </w:p>
    <w:p>
      <w:pPr>
        <w:pStyle w:val="Normal04888266-19a9-4bed-bf27-aedcbbaf91c6"/>
      </w:pPr>
    </w:p>
    <w:p>
      <w:pPr>
        <w:pStyle w:val="paraStyle"/>
        <w:spacing w:before="200" w:beforeAutospacing="0" w:after="200" w:afterAutospacing="0"/>
      </w:pPr>
      <w:r>
        <w:t>一、单选题</w:t>
      </w:r>
    </w:p>
    <w:p>
      <w:pPr>
        <w:pStyle w:val="Normal04888266-19a9-4bed-bf27-aedcbbaf91c6"/>
        <w:numPr>
          <w:ilvl w:val="0"/>
          <w:numId w:val="0"/>
        </w:numPr>
        <w:spacing w:line="320" w:lineRule="auto"/>
        <w:ind w:firstLine="560"/>
        <w:jc w:val="left"/>
        <w:textAlignment w:val="center"/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中医药是中华文明瑰宝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十四五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期间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我国加强中医药文化研究和建设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国际交流不断深化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服务贸易积极发展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北京某校开展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跟着节气识草药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跨学科主题学习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下图为某同学手绘的金银花名片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读图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tbl>
      <w:tblPr>
        <w:tblStyle w:val="TableNormal"/>
        <w:tblW w:w="6675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600"/>
      </w:tblPr>
      <w:tblGrid>
        <w:gridCol w:w="1320"/>
        <w:gridCol w:w="5355"/>
      </w:tblGrid>
      <w:tr>
        <w:tblPrEx>
          <w:tblW w:w="6675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600"/>
        </w:tblPrEx>
        <w:trPr>
          <w:trHeight w:hRule="auto" w:val="0"/>
        </w:trPr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</w:pP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685800" cy="1019175"/>
                  <wp:effectExtent l="0" t="0" r="0" b="9525"/>
                  <wp:docPr id="2" name="_x0000_i1026" descr="@@@074f6563-481b-49c4-8531-11a0b51e519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_x0000_i1026" descr="@@@074f6563-481b-49c4-8531-11a0b51e519a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金银花生长习性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：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喜光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耐阴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耐寒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耐旱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耐涝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耐贫瘠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适宜种植的海拔范围一般在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400—1600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米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。</w:t>
            </w:r>
          </w:p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产品用途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：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金银花茶适宜清热解暑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金银花爽肤精华露用于护肤等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。</w:t>
            </w:r>
          </w:p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经济价值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：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药用价值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食用价值和观赏价值等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。</w:t>
            </w:r>
          </w:p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海外市场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：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东南亚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西亚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北美洲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南美洲和非洲等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。</w:t>
            </w:r>
          </w:p>
        </w:tc>
      </w:tr>
    </w:tbl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按名片所示用途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该同学建议家人饮用金银花茶最适宜的节气是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立春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惊蛰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芒种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白露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通过技术研发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某地将金银花种植海拔提升至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2500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该地位于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云贵高原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山东丘陵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东南丘陵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大兴安岭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3．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金银花产品远销海外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主要得益于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①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中医文化传播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②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食用观赏价值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③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国家政策支持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④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种植成本低廉</w:t>
      </w:r>
    </w:p>
    <w:p>
      <w:pPr>
        <w:pStyle w:val="Normal04888266-19a9-4bed-bf27-aedcbbaf91c6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A．①②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B．①③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C．②④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D．③④</w:t>
      </w:r>
    </w:p>
    <w:p>
      <w:pPr>
        <w:pStyle w:val="Normal04888266-19a9-4bed-bf27-aedcbbaf91c6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</w:p>
    <w:p>
      <w:pPr>
        <w:pStyle w:val="Normal04888266-19a9-4bed-bf27-aedcbbaf91c6"/>
        <w:numPr>
          <w:ilvl w:val="0"/>
          <w:numId w:val="0"/>
        </w:numPr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2025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月开始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北京引入新疆阿勒泰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47.83°N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88.14°E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）、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哈密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42.83°N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93.52°E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等地的光伏绿电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据此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北京正午影长逐渐变长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哈密日落时间逐渐提前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阿勒泰日出方向为东南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北京比阿勒泰白昼更短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5．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绿电进京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增加新疆能源类型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提升新疆用电需求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延迟北京用电高峰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助力北京低碳发展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</w:p>
    <w:p>
      <w:pPr>
        <w:pStyle w:val="Normal04888266-19a9-4bed-bf27-aedcbbaf91c6"/>
        <w:numPr>
          <w:ilvl w:val="0"/>
          <w:numId w:val="0"/>
        </w:numPr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下图为某村景观示意图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读图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581525" cy="971550"/>
            <wp:effectExtent l="0" t="0" r="9525" b="0"/>
            <wp:docPr id="3" name="_x0000_i102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_x0000_i1027" descr="@@@aa4c2b44-837a-4553-ab92-72e7de67c7c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6．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该村适宜发展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养殖业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交通运输业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纺织业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商贸服务业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7．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近年来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该村积极在林地中种植蘑菇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木耳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预防泥石流的发生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提高资源环境承载力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增加乔木植物种类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改变山地垂直地带性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</w:p>
    <w:p>
      <w:pPr>
        <w:pStyle w:val="Normal04888266-19a9-4bed-bf27-aedcbbaf91c6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8．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下图为北京时间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2025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5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18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08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时亚洲局部地区海平面气压分布图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回答问题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66950" cy="2571750"/>
            <wp:effectExtent l="0" t="0" r="0" b="0"/>
            <wp:docPr id="4" name="_x0000_i102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_x0000_i1028" descr="@@@ea55edbd-2fae-48d9-91dc-d822d3080c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据图推断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甲地气流辐合上升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大气逆辐射强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乙地受东北风影响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海面波浪滔天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丙地受冷气团控制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气温持续降低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丁地准静止锋停滞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天空浓雾弥漫</w:t>
      </w:r>
    </w:p>
    <w:p>
      <w:pPr>
        <w:pStyle w:val="Normal04888266-19a9-4bed-bf27-aedcbbaf91c6"/>
        <w:numPr>
          <w:ilvl w:val="0"/>
          <w:numId w:val="0"/>
        </w:numPr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下图为某古生代和中生代地层的地质剖面示意图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读图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67125" cy="2228850"/>
            <wp:effectExtent l="0" t="0" r="0" b="0"/>
            <wp:docPr id="5" name="_x0000_i102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_x0000_i1029" descr="@@@175146a7-b7c4-42d8-ad64-1a2252fcde7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9．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A．①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岩层中发现三叶虫化石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B．②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岩层由变质作用形成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C．②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岩层曾受到过外力侵蚀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D．③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岩层晚于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①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岩层形成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10．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据图判断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断层形成早于古生代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背斜的形成早于侵蚀面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油气藏分布在泥岩中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岩层最深处已达上地幔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</w:p>
    <w:p>
      <w:pPr>
        <w:pStyle w:val="Normal04888266-19a9-4bed-bf27-aedcbbaf91c6"/>
        <w:numPr>
          <w:ilvl w:val="0"/>
          <w:numId w:val="0"/>
        </w:numPr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每年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月中旬至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5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月初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瑞典的驼鹿开始从森林向草场迁徙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下图示意驼鹿迁徙的大致方向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读图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38475" cy="2543175"/>
            <wp:effectExtent l="0" t="0" r="0" b="0"/>
            <wp:docPr id="6" name="_x0000_i103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_x0000_i1030" descr="@@@d8afe5a0-ceb6-4ebc-af8d-27b55dde4bd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11．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驼鹿迁徙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时段正值降水骤减月份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范围在极地高气压带区域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沿途地势大致由低到高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直接受北大西洋暖流控制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12．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研究显示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近年来驼鹿迁徙开始时间有所提前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最可能是由于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海水盐度增加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气候变暖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土壤肥力下降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草场退化</w:t>
      </w:r>
    </w:p>
    <w:p>
      <w:pPr>
        <w:pStyle w:val="Normal04888266-19a9-4bed-bf27-aedcbbaf91c6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sz w:val="21"/>
        </w:rPr>
      </w:pPr>
    </w:p>
    <w:p>
      <w:pPr>
        <w:pStyle w:val="Normal04888266-19a9-4bed-bf27-aedcbbaf91c6"/>
        <w:numPr>
          <w:ilvl w:val="0"/>
          <w:numId w:val="0"/>
        </w:numPr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2024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9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月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，《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长江经济带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—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长江流域国土空间规划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2021—2035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）》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发布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下图为该规划范围的局部示意图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据此完成下面小题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19575" cy="2314575"/>
            <wp:effectExtent l="0" t="0" r="0" b="0"/>
            <wp:docPr id="7" name="_x0000_i103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_x0000_i1031" descr="@@@13a51df26bc84f5c84f37e811e2bf2d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13．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图示区域规划范围大于长江流域范围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主要考虑到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保持县域范围的完整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利于三江源生态建设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确保水运航道的畅通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反映地貌的形态特征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14．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大渡河流域丹巴至泸定一带生态修复的重点是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退湖还耕与盐碱防治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农田保护与虫害根治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水源涵养与矿山修复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黑土治理与沙化防控</w:t>
      </w:r>
    </w:p>
    <w:p>
      <w:pPr>
        <w:pStyle w:val="Normal04888266-19a9-4bed-bf27-aedcbbaf91c6"/>
        <w:tabs>
          <w:tab w:val="left" w:pos="4156"/>
        </w:tabs>
        <w:spacing w:line="320" w:lineRule="auto"/>
        <w:ind w:left="380"/>
        <w:jc w:val="left"/>
        <w:textAlignment w:val="center"/>
        <w:rPr>
          <w:sz w:val="21"/>
        </w:rPr>
      </w:pPr>
    </w:p>
    <w:p>
      <w:pPr>
        <w:pStyle w:val="Normal04888266-19a9-4bed-bf27-aedcbbaf91c6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15．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下图分别表示某地四类主体功能区所提供产品的价值构成比例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回答问题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95800" cy="809625"/>
            <wp:effectExtent l="0" t="0" r="0" b="0"/>
            <wp:docPr id="8" name="_x0000_i103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_x0000_i1032" descr="@@@9f457fff-10b6-4563-9ca4-c42dde29e2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图中序号代表重点生态功能区的是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</w:p>
    <w:p>
      <w:pPr>
        <w:pStyle w:val="Normal04888266-19a9-4bed-bf27-aedcbbaf91c6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A．①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B．②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C．③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ab/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D．④</w:t>
      </w:r>
    </w:p>
    <w:p>
      <w:pPr>
        <w:pStyle w:val="Normal04888266-19a9-4bed-bf27-aedcbbaf91c6"/>
      </w:pPr>
    </w:p>
    <w:p>
      <w:pPr>
        <w:pStyle w:val="paraStyle"/>
        <w:spacing w:before="200" w:beforeAutospacing="0" w:after="200" w:afterAutospacing="0"/>
      </w:pPr>
      <w:r>
        <w:t>二、综合题</w:t>
      </w:r>
    </w:p>
    <w:p>
      <w:pPr>
        <w:pStyle w:val="Normal04888266-19a9-4bed-bf27-aedcbbaf91c6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16．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某校学生赴易水流域进行野外实习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（a）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为易水流域局部示意图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（b）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为旱情监测系统的相关模块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回答下列问题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43450" cy="1981200"/>
            <wp:effectExtent l="0" t="0" r="0" b="0"/>
            <wp:docPr id="9" name="_x0000_i103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_x0000_i1033" descr="@@@7501dc7c-7ce0-4431-b170-4e7146cb13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任务一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考察流域水土保持</w:t>
      </w:r>
    </w:p>
    <w:p>
      <w:pPr>
        <w:pStyle w:val="Normal04888266-19a9-4bed-bf27-aedcbbaf91c6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同学们从水土保持科教馆获取在相同降雨条件下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不同土地利用类型的土壤流失量数据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如表所示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tbl>
      <w:tblPr>
        <w:tblStyle w:val="TableNormal"/>
        <w:tblW w:w="7695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600"/>
      </w:tblPr>
      <w:tblGrid>
        <w:gridCol w:w="1923"/>
        <w:gridCol w:w="1924"/>
        <w:gridCol w:w="1924"/>
        <w:gridCol w:w="1924"/>
      </w:tblGrid>
      <w:tr>
        <w:tblPrEx>
          <w:tblW w:w="7695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600"/>
        </w:tblPrEx>
        <w:trPr>
          <w:trHeight w:hRule="auto" w:val="0"/>
        </w:trPr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土地利用类型</w:t>
            </w: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林地</w:t>
            </w: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坡耕地</w:t>
            </w: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裸地</w:t>
            </w:r>
          </w:p>
        </w:tc>
      </w:tr>
      <w:tr>
        <w:tblPrEx>
          <w:tblW w:w="769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600"/>
        </w:tblPrEx>
        <w:trPr>
          <w:trHeight w:hRule="auto" w:val="0"/>
        </w:trPr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土壤流失量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/t·hm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superscript"/>
              </w:rPr>
              <w:t>-2</w:t>
            </w: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2.2</w:t>
            </w: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60.1</w:t>
            </w: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27.4</w:t>
            </w:r>
          </w:p>
        </w:tc>
      </w:tr>
    </w:tbl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在林地与坡耕地中任选其一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说明其与裸地的水土流失差异及原因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任务二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调研资源利用状况</w:t>
      </w:r>
    </w:p>
    <w:p>
      <w:pPr>
        <w:pStyle w:val="Normal04888266-19a9-4bed-bf27-aedcbbaf91c6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同学们前往大龙华乡新型建材集中区调研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该区是易县打造的京津冀绿色建材产业基地之一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利用本地丰富的石灰岩资源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高温煅烧水泥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生产水泥制品等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列举当地发展绿色水泥产业应采取的主要措施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任务三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  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设计旱情监测方案</w:t>
      </w:r>
    </w:p>
    <w:p>
      <w:pPr>
        <w:pStyle w:val="Normal04888266-19a9-4bed-bf27-aedcbbaf91c6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同学们来到安格庄水库管理站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探究水库灌溉功能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设计基于遥感技术的旱情监测方案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结合图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（b），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绘制灌溉区旱情监测系统结构框图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归纳遥感技术的优势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17．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下图为哥斯达黎加地图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回答下列问题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57525" cy="2514600"/>
            <wp:effectExtent l="0" t="0" r="0" b="0"/>
            <wp:docPr id="12" name="_x0000_i103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_x0000_i1036" descr="@@@a1af4ba6-b0c1-4417-bc5b-1b8cefe1ab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概括该国铁路分布的特点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近年来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哥斯达黎加利用自身优势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积极发展水产品加工业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并参加中国主办的水产品开发利用方面的培训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提升生产水平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阐明该国发展水产品加工业的条件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18．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（a）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为雪峰山及周边区域示意图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（b）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为雪峰山东坡与西坡不同高度的气温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降水量示意图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回答下列问题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05350" cy="2676525"/>
            <wp:effectExtent l="0" t="0" r="0" b="0"/>
            <wp:docPr id="13" name="_x0000_i10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_x0000_i1037" descr="@@@fc4bf92418324cf085f40f6f38a3cbc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与西坡相比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说明同海拔东坡气温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降水特点及依据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雪峰山国家森林公园前身是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世纪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50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年代的雪峰山国有林场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森林覆盖率由林场初期的不足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20%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提高到现今的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90%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以上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指出该地主要森林植被类型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简述森林覆盖率提高的影响因素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雪峰山以西地区传统民居体现了多民族特色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概述该地区民居具有多民族特色的地理条件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19．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1957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港商华先生来到广州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参加首届中国出口商品交易会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简称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广交会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到装有风扇的土特产展馆选购粮油产品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下图为广交会会址示意图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回答下列问题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48075" cy="1905000"/>
            <wp:effectExtent l="0" t="0" r="0" b="0"/>
            <wp:docPr id="14" name="_x0000_i103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_x0000_i1038" descr="@@@382eb48c-e7ed-449c-a58c-e7134701506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说明首届交易会选址广州并在春季举行的原因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此后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华先生亲历了会址从广东流花展贸中心到广州国际会展中心的变迁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2008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年华先生与孙子小华来到新会址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在现代化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生态化和智能化的展馆里感悟广州城市发展的辉煌历程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描述广交会会址的区位变化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阐明该变化对新址周边地区发展的影响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ind w:firstLine="560"/>
        <w:jc w:val="left"/>
        <w:textAlignment w:val="center"/>
        <w:rPr>
          <w:sz w:val="21"/>
        </w:rPr>
      </w:pP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为拓展对外贸易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小华参加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2025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年广交会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在北方某镇地毯展位前洽谈相关事宜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该展位负责人向小华介绍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多年前他独自参加广交会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后来带动乡邻组团参展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获得外贸订单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行业信息和客户建议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不断改进地毯设计和制作工艺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获批数十项专利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如今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当地涌现多家大企业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地毯研发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原材料和设备供应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物流仓储迅速发展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地毯出口量占全国的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40%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双方约定广交会后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小华前往该镇进行实地考察</w:t>
      </w:r>
      <w:r>
        <w:rPr>
          <w:rFonts w:ascii="楷体" w:eastAsia="楷体" w:hAnsi="楷体" w:cs="楷体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概括广交会对该镇地毯产业发展的促进作用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numPr>
          <w:ilvl w:val="0"/>
          <w:numId w:val="0"/>
        </w:numPr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某集团校倡导数智赋能学习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开展主题为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探秘家乡作物种质资源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的研究性学习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下图为四个城市校区的学生在云端交流时呈现的调研报告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节选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回答问题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tbl>
      <w:tblPr>
        <w:tblStyle w:val="TableNormal"/>
        <w:tblW w:w="8325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600"/>
      </w:tblPr>
      <w:tblGrid>
        <w:gridCol w:w="2752"/>
        <w:gridCol w:w="2850"/>
        <w:gridCol w:w="2723"/>
      </w:tblGrid>
      <w:tr>
        <w:tblPrEx>
          <w:tblW w:w="8325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600"/>
        </w:tblPrEx>
        <w:trPr>
          <w:trHeight w:hRule="auto" w:val="0"/>
        </w:trPr>
        <w:tc>
          <w:tcPr>
            <w:tcW w:w="27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495425" cy="1666875"/>
                  <wp:effectExtent l="0" t="0" r="0" b="0"/>
                  <wp:docPr id="15" name="_x0000_i1039" descr="@@@231500d3d66c4317bb11bd164ba2cae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_x0000_i1039" descr="@@@231500d3d66c4317bb11bd164ba2cae4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作物种质资源</w:t>
            </w: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6" name="_x0000_i1040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_x0000_i1040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种质资源是农业的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“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芯片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”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是国家重要的战略性资源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是人类生存和发展的宝贵财富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。</w:t>
            </w:r>
          </w:p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7" name="_x0000_i1041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_x0000_i1041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作物育种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生物科学研究的创新基础和农业生产的物质基础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……</w:t>
            </w:r>
          </w:p>
        </w:tc>
        <w:tc>
          <w:tcPr>
            <w:tcW w:w="30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作物种质库</w:t>
            </w: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8" name="_x0000_i1042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_x0000_i1042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种质库是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“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国之重器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”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用于保存和保护种质资源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防止种质资源因环境变化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自然灾害或人类活动而灭绝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。</w:t>
            </w:r>
          </w:p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9" name="_x0000_i1043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_x0000_i1043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北京有国家级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市级作物种质资源保护单位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8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家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保存的种质资源居全国首位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……</w:t>
            </w:r>
          </w:p>
        </w:tc>
      </w:tr>
      <w:tr>
        <w:tblPrEx>
          <w:tblW w:w="832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600"/>
        </w:tblPrEx>
        <w:trPr>
          <w:trHeight w:hRule="auto" w:val="0"/>
        </w:trPr>
        <w:tc>
          <w:tcPr>
            <w:tcW w:w="27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探秘杂粮王国</w:t>
            </w: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20" name="_x0000_i1044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_x0000_i1044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国家特色杂粮作物种质库保存有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7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万多份种质资源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。</w:t>
            </w:r>
          </w:p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21" name="_x0000_i1045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_x0000_i1045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山西翼城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“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珍珠玉米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”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是我国优异作物种质资源之一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。</w:t>
            </w:r>
          </w:p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22" name="_x0000_i1046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_x0000_i1046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杂粮秸秆可以作为生物质能的原料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提供可再生的绿色能源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……</w:t>
            </w:r>
          </w:p>
        </w:tc>
        <w:tc>
          <w:tcPr>
            <w:tcW w:w="2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647825" cy="1876425"/>
                  <wp:effectExtent l="0" t="0" r="0" b="0"/>
                  <wp:docPr id="23" name="_x0000_i1047" descr="@@@8a1b1ce8fb72400dbe9426b0efdc2fc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_x0000_i1047" descr="@@@8a1b1ce8fb72400dbe9426b0efdc2fc2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揭秘稻源情深</w:t>
            </w: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24" name="_x0000_i1048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_x0000_i1048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国家水稻种质库保存有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8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万多份种质资源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。</w:t>
            </w:r>
          </w:p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25" name="_x0000_i1049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_x0000_i1049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浙江上山遗址是世界稻作农业的起源地之一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出土了一万年前的炭化稻米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。</w:t>
            </w:r>
          </w:p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26" name="_x0000_i1050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_x0000_i1050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大粒粳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、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庆元黑米等特色品种传承至今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与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“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稻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”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结缘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……</w:t>
            </w:r>
          </w:p>
        </w:tc>
      </w:tr>
      <w:tr>
        <w:tblPrEx>
          <w:tblW w:w="832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600"/>
        </w:tblPrEx>
        <w:trPr>
          <w:trHeight w:hRule="auto" w:val="0"/>
        </w:trPr>
        <w:tc>
          <w:tcPr>
            <w:tcW w:w="27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超级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“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油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”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力量</w:t>
            </w:r>
          </w:p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27" name="_x0000_i1051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_x0000_i1051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国家油料作物种质库保存有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4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万多份种质资源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。</w:t>
            </w:r>
          </w:p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1450" cy="190500"/>
                  <wp:effectExtent l="0" t="0" r="0" b="0"/>
                  <wp:docPr id="28" name="_x0000_i1052" descr="@@@67aa96f465114edd8daaf380555db1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_x0000_i1052" descr="@@@67aa96f465114edd8daaf380555db13e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植物油转化为生物柴油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，</w:t>
            </w: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可以部分替代化石燃料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hd w:val="clear" w:color="auto" w:fill="auto"/>
                <w:vertAlign w:val="baseline"/>
              </w:rPr>
              <w:t>……</w:t>
            </w:r>
          </w:p>
        </w:tc>
        <w:tc>
          <w:tcPr>
            <w:tcW w:w="55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>
            <w:pPr>
              <w:pStyle w:val="Normal04888266-19a9-4bed-bf27-aedcbbaf91c6"/>
              <w:shd w:val="clear" w:color="auto" w:fill="auto"/>
              <w:spacing w:line="32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hd w:val="clear" w:color="auto" w:fill="auto"/>
                <w:vertAlign w:val="baseline"/>
              </w:rPr>
              <w:t>借助人工智能绘制国家作物种质资源普查示意图</w:t>
            </w:r>
            <w:r>
              <w:rPr>
                <w:rFonts w:ascii="Times New Roman" w:eastAsia="Times New Roman" w:hAnsi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238125" cy="304800"/>
                  <wp:effectExtent l="0" t="0" r="0" b="0"/>
                  <wp:docPr id="29" name="_x0000_i1053" descr="@@@05e0c243b71b4ea8b19cff0cc8dfe1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_x0000_i1053" descr="@@@05e0c243b71b4ea8b19cff0cc8dfe1ad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结合实例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论述保护作物种质资源对国家安全的意义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subTitleStyle87a17a98-94d5-40f7-81a6-9b05b630d303"/>
        <w:spacing w:before="600" w:after="600" w:afterAutospacing="0"/>
        <w:jc w:val="center"/>
      </w:pPr>
      <w:r>
        <w:br w:type="page"/>
      </w:r>
      <w:r>
        <w:t>参考答案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C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A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3．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】1．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芒种在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6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月上旬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此时天气逐渐炎热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易出现暑热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湿热等状况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而金银花茶具备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清热解暑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的功效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正好契合该节气的养生需求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所以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立春在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2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气候寒冷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人们的主要需求并非清热解暑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惊蛰在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3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气温虽回升但暑热不明显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对金银花茶清热解暑的需求较小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白露在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9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天气转凉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清热解暑需求低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，D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云贵高原海拔普遍在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1000 - 2000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米以上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部分区域可达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2500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米及更高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且其气候等条件适合金银花种植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即便存在不足也可通过技术研发进行适应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山东丘陵海拔多处于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200 - 500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少数山峰超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1000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无法满足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2500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米的高度要求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东南丘陵海拔同样多在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200 - 500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不符合海拔条件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大兴安岭虽海拔有高值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但气候寒冷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干燥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不利于金银花生长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金银花喜一定湿度等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且通过技术研发在大兴安岭种到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2500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米不现实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，D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3．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中医文化的广泛传播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让海外市场了解到金银花的药用价值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从而推动了其销售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同时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国家在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十四五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期间大力加强中医药文化建设与国际交流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为金银花产品海外推广提供了有力的政策支持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①③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食用观赏价值是金银花本身特性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但并非其远销海外的主要因素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关键在于文化传播和政策支持让海外市场认识并接受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，②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材料中未提及金银花种植成本低廉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这也不是其远销海外的主要原因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，④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综上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B。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D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5．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】4．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4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月太阳直射点向北移动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北京正午太阳高度角逐渐增大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物体影长应变短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；4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月北半球昼长渐长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日落时间推迟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；4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月太阳直射北半球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北半球日出方向为东北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；4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月太阳直射点位于北半球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北半球纬度越高昼越长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阿勒泰纬度高于北京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所以北京白昼更短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D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rFonts w:hint="eastAsia"/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5．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绿电本质是一种能源形式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新疆此前已开发光伏发电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引入绿电并未新增能源类型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绿电主要输往北京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对新疆本地用电需求无直接影响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光伏发电依赖光照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主要在白天发电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而用电高峰多在傍晚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无法延迟用电高峰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绿电作为清洁能源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能够替代化石能源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减少碳排放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从而助力区域低碳发展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。​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6．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A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7．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】6．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从图中可知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该村具备池塘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河流等丰富水资源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为水产养殖创造了天然优势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且村庄周边的稻田与农田能够作为养殖业的饲料来源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进一步推动养殖业发展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图中未体现发展交通运输业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纺织业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商贸业的直接依据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无法得出相关结论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B、C、D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7．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在林地中种植蘑菇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木耳等菌类植物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能够充分利用林地空间与资源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提高资源利用效率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进而提升环境承载力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所以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泥石流的形成主要受暴雨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地表松散物质等因素影响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种植菌类无法起到预防泥石流的作用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蘑菇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木耳属于菌类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并非乔木植物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种植它们不能增加乔木种类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山地垂直地带性由山体相对高度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水热条件变化等因素决定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种植菌类无法改变山地垂直地带性特征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8．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】A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根据图示信息可知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甲地位于低压中心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气流辐合上升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多阴雨天气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云层较厚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大气逆辐射作用强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，A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乙地南侧气压高于北侧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水平气压梯度力大致由南指向北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为偏南风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，B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丙地位于准静止锋西北侧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受冷气团控制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但近地面等压线稀疏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风力较低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受冷气团影响较小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气温不会持续降低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，C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丁地不受准静止锋影响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，D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9．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C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10．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】9．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由材料可知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图示为古生代和中生代地层剖面图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，①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位于最上层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属于中生代地层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而三叶虫是古生代生物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①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地层中不会发现三叶虫化石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；②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岩层为玄武岩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玄武岩是岩浆喷出地表后冷凝形成的岩浆岩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并非变质作用形成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；②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岩层上部存在侵蚀面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这直观表明该岩层曾遭受外力侵蚀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根据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谁被覆盖谁是老的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地层新老关系判断原则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，③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岩层位于下部被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①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岩层覆盖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所以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③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岩层形成时间早于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①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10．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该图为古生代和中生代地层剖面图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下部是古生代地层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断层切断了下部地层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由此可推断断层形成时间晚于古生代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从图示信息可见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，③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岩层向上拱起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符合背斜构造特征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且其上部存在侵蚀面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说明背斜形成后才遭受侵蚀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即背斜形成早于侵蚀面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图示显示油气藏分布在石灰岩中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选项表述错误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已知地壳平均厚度约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17km，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而图示岩层最深处仅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8km，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因此该地层最深处应位于地壳范围内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11．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C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12．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B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】11．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每年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4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月中旬至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5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月初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太阳直射点位于北半球并向北移动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瑞典气温随之上升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大气对流逐渐旺盛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且临近夏季雨季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降水不会骤降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极地高气压带主要控制极点附近区域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图示驼鹿迁徙路线在北极圈以南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几乎不受极地高压带影响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从图示可知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瑞典西北部有山地分布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结合河流水系由西北流向东南可推知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该区域地势西北高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东南低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而驼鹿迁移路线是由东南向西北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因此迁徙沿途地势大致由低到高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瑞典位于斯堪的纳维亚半岛东部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不直接受北大西洋暖流控制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12．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驼鹿不耐热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适宜在一定温度范围内生长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。4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月中旬至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5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月初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太阳直射点北移使瑞典气温上升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驼鹿需向纬度更高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海拔更高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气温更低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的区域迁徙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而气候变暖导致瑞典南部气温升高速度加快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使得驼鹿为寻找适宜温度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迁徙开始时间提前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驼鹿为陆地生物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海水盐度变化对其迁徙影响极小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动物迁徙受土壤肥力影响较小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且题干未提及当地土壤肥力下降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题目未表明瑞典草场退化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且草场退化与驼鹿迁徙开始时间的关联性不强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13．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C    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14．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C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】13．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图示区域规划以横断山水源涵养与生物多样性保护为核心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其规划依据是相对统一的自然地理特征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与行政区划关联不大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也不会特别考虑县域范围完整性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且规划界线与县界并非完全重合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三江源地处青海省南部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是长江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黄河和澜沧江的发源地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与该区域距离较远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因此与三江源生态建设关系较小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该区域规划聚焦生态保护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且范围大于长江流域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通过从更大尺度修复长江流域生态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能够稳定长江河流径流量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减少含沙量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保障水运航道畅通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从而推动长江经济带的经济可持续发展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题目未提及规划区域内部地形地貌相关信息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无法据此反映地貌形态特征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14．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盐碱化问题主要出现在我国北方和西北地区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而图示地区气候湿润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土地盐碱化并不突出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，A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大渡河流域丹巴至泸定一带以矿山生态修复为主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表明当地矿产开采活动频繁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生态修复重点并非农田保护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，B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由于该区域频繁的矿产开采活动严重破坏地表植被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矿坑加剧地势起伏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进而导致水土流失问题严峻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因此生态修复的关键在于水源涵养与矿山修复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，C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黑土主要分布在我国东北平原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与该地区无关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，D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错误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15．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】D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重点生态功能区承担水源涵养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水土保持等重要生态功能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关乎全国或大范围区域生态安全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在国土空间开发中需限制大规模高强度产业及城镇化开发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以维持和提升生态产品供给能力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这意味着重点生态功能区内不会出现大规模工业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农业及其他产业活动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所以工业产品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农产品和服务产品占比极小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基于此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重点生态功能区提供的产品价值构成中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比例最高的必然是生态产品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对比四个选项图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只有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④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图生态产品占比最高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，D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正确</w:t>
      </w:r>
      <w:bookmarkStart w:id="0" w:name="_GoBack"/>
      <w:bookmarkEnd w:id="0"/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其他主体功能区的生态产品占比都较小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不可能是重点生态功能区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排除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ABC。</w:t>
      </w:r>
    </w:p>
    <w:p>
      <w:pPr>
        <w:pStyle w:val="Normal04888266-19a9-4bed-bf27-aedcbbaf91c6"/>
        <w:spacing w:line="32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16．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林地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水土流失量比裸地小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与裸地相比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林地的植被覆盖率更高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涵养水源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保持水土的能力更强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水土流失更小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或坡耕地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水土流失量比裸地大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原因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与裸地相比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坡耕地经过人类耕作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植被覆盖率更低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土质更疏松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更易受到流水侵蚀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水土流失量更大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。）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加大技术创新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研发低碳或零碳的生产工艺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绿色开采石灰岩资源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提高资源的利用率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生产过程中注重提高能源利用效率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提高可再生能源使用比重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制定严格的环保标准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推动企业转型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加大产业链协同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加强废弃物的回收利用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推广绿色水泥的应用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灌溉区旱情监测系统结构框图如下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638175"/>
            <wp:effectExtent l="0" t="0" r="0" b="0"/>
            <wp:docPr id="10" name="_x0000_i103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_x0000_i1034" descr="@@@81ffcc13-eaad-424c-8748-12544a3c336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638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遥感技术的优势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探测范围大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获取信息速度快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周期短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信息量大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受地面条件限制少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能够实现地物信息的实时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动态监测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本题从水土流失的角度考查地理差异及成因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水土流失的主要成因是流水侵蚀作用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在降雨条件相同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的条件下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下垫面性质的差异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植被覆盖率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土质等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直接影响水土流失的强度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与裸地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自然植被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相比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林地的植被覆盖率更高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坡耕地的植被覆盖率更低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土质更疏松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人类活动耕作影响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林地抵御流水侵蚀作用的能力更强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坡耕地抵御流水侵蚀的能力更弱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因此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与裸地相比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林地的水土流失量更小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坡耕地的水土流失量更大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本题考查生态文明背景下的产业发展方向及措施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结合所学知识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绿色水泥产业发展涉及原材料开采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生产过程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废弃物治理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技术创新等方面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从原材料开采角度来看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当地应采取措施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绿色开采当地丰富优质的石灰岩资源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确保原材料开采过程中的绿色化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并在生产过程中提高石灰岩资源的利用率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从生产过程角度来看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生产水泥过程中要注重提高能源利用效率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减少能耗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提高可再生能源使用比重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减少生产过程对环境的破坏和碳排放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从废弃物治理角度来看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当地应加大产业链协同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发展全产业链生产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加强对废弃物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废热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废渣等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的回收利用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提高产业的附加值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另外可采取措施推广绿色水泥的应用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此外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当地可加大技术创新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研发低碳或零碳的生产工艺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减少水泥生产过程中的碳排放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增强碳回收和碳固定等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当地政府应当制定严格的环保标准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推动企业绿色转型发展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本题考查地理信息技术的应用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包括获取数据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处理数据和生成产品等方面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利用遥感技术可以实时获取灌溉区域的遥感影像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通过解译获取有关数据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土地利用解译获取土地利用数据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干旱指标解译获取干旱指标数据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将多种数据进行叠加分析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可以获得土地利用干旱数据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在此基础上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通过空间查询和统计分析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得到旱情监测报告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最后进行专题地图制作和野外验证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完成一次完整的探究实践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综上所述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绘制灌溉区旱情监测系统结构框图如下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629920"/>
            <wp:effectExtent l="0" t="0" r="0" b="0"/>
            <wp:docPr id="11" name="_x0000_i103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_x0000_i1035" descr="@@@d6d07f14-0447-4a4e-a4f7-b790422b37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630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遥感技术意为遥远的感知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是利用装在航空器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如飞机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高空气球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或航天器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如人造卫星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的光学或电子设备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对地表物体进行远距离感知的地理信息技术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与传统实地调查等信息获取手段相比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遥感技术具有探测范围大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获取信息速度快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周期短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信息量大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受地面条件限制少等优势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能够实现地物信息的实时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动态监测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17．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铁路分布不均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主要分布在沿海平原地区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尤其是南部和东部沿海地区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铁路网络整体较为稀疏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没有形成密集的铁路网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铁路主要连接了首都圣何塞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主要城市及重要港口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拥有广阔的海洋空间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沿海地区渔业发达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为水产品加工业提供了充足的原料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拥有良好的港口设施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便于水产品的运输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通过参加中国主办的水产品开发利用方面的培训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哥斯达黎加提升了水产品加工的技术水平和管理能力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劳动力成本低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成本优势明显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政府积极推动水产品加工业的发展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提供了政策支持和引导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为行业的繁荣创造了有利条件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读图可知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图中铁路分布不均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主要分布在东部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南部沿海平原地区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平原地区地形平坦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建设成本低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且沿海地区人口和经济活动密集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铁路网络以首都圣何塞为中心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连接主要城市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如利蒙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彭塔雷纳斯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和重要港口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说明铁路主要用于国内运输和对外贸易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整体铁路稀疏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密度较低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未形成密集网络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可能与国家面积较小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地形复杂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如中部山地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或交通需求有限有关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哥斯达黎加濒临太平洋和加勒比海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海岸线较长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渔业资源充足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为水产品加工提供稳定原料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拥有利蒙港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卡尔德拉港等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便于水产品快速运输至国际市场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如北美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亚洲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根据材料信息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并参加中国主办的水产品开发利用方面的培训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提升生产水平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通过参与中国培训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引进先进加工技术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如冷冻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和管理经验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提升产品质量和竞争力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劳动力成本低于北美及欧洲国家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具备一定成本优势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当地能够发展水产品加工业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说明政府政策支持力度较大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政策鼓励水产加工产业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如税收优惠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基建投资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吸引外资合作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18．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气温较低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降水较多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依据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东坡受冬季冷空气影响大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气温较低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图中也显示东坡气象站点气温低于同海拔的西坡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地处夏季风迎风坡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降水多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图中也显示东坡气象站点降水多于同海拔的西坡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亚热带常绿阔叶林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国家政策支持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停止采伐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植树造林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保护森林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森林自然恢复等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该地区分布的民族众多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交通条件不断改善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各民族交流增强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由图可知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东坡气象站点气温低于同海拔的西坡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根据图中冬季冷空气的移动方向可推测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东坡受冬季冷空气影响大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气温较低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图中显示东坡气象站点降水多于同海拔的西坡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这是因为雪峰山夏季吹东南风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东坡地处夏季风迎风坡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降水多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该地位于亚热带地区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主要森林植被为亚热带常绿阔叶林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设立雪峰山国家森林公园后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林场停止采伐森林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开始保护森林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当地水热条件优越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森林自然恢复较快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部分区域也可能植树造林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提高了森林覆盖率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图中可看出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该地区分布的民族众多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少数民族地区在国家扶贫等政策影响下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不断改善交通条件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各民族之间交流增多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使得民居具有多民族特色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19．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广州是传统外贸港口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海外贸易历史悠久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基础好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临近港澳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便于吸引侨商及海外客商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交通便利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利于商品集散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春季气候适宜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温暖湿润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便于客商出行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参展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春季是农产品等商品的收获或流通季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货源充足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区位变化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从广东流花展贸中心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城区相对偏西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迁至广州国际会展中心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城区偏东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靠近河流与交通干线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新址更靠近交通枢纽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区位条件更优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。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带动周边交通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餐饮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住宿等服务业发展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促进产业升级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会展关联产业集聚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提升区域知名度与土地价值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推动基础设施完善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道路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绿化等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提供外贸订单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拓展国际市场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传递行业信息与客户需求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推动产品研发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工艺改进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吸引关联企业集聚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研发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原材料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物流等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完善产业链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】（1）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根据材料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“1957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年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港商华先生来到广州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参加首届中国出口商品交易会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简称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‘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广交会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’），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到装有风扇的土特产展馆选购粮油产品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以及广州的历史背景可知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广州是传统外贸港口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海外贸易历史悠久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基础好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长期的外贸发展积累了完善的贸易设施与商人群体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具备举办大型交易会的条件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从地理位置看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广州临近港澳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便于吸引侨商及海外客商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借助港澳的区位与侨商资源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能汇聚更多国际采购商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广州交通便利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图中道路等信息体现交通网络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利于商品集散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方便国内外商品运输与交易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春季气候适宜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温暖湿润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便于客商出行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参展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相比夏季炎热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冬季寒冷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春季气候条件更适合人员往来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春季是农产品等商品的收获或流通季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货源充足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符合材料中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选购粮油产品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等交易需求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能保障展会商品供应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（2）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从图中可观察会址迁移方向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流花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→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国际会展中心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新址更靠近河流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交通干道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空间更开阔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配套更现代化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影响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带动周边交通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餐饮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住宿等服务业发展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广交会人流量大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会刺激周边配套服务需求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促进服务业繁荣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促进产业升级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会展关联产业集聚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会展业发展会吸引会展策划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搭建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广告等关联产业聚集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推动产业结构优化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提升区域知名度与土地价值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广交会的影响力会提升新址周边区域的知名度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带动土地增值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推动基础设施完善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道路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绿化等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为保障广交会举办与区域发展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政府会加大对周边道路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绿化等基础设施的投入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（3）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根据材料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多年前他独自参加广交会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后来带动乡邻组团参展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获得外贸订单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行业信息和客户建议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不断改进地毯设计和制作工艺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获批数十项专利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广交会提供外贸订单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拓展国际市场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让该镇地毯产品走向海外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传递行业信息与客户需求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推动产品研发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工艺改进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借助展会平台获取的信息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能促进地毯产品升级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根据材料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如今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当地涌现多家大企业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地毯研发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原材料和设备供应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物流仓储迅速发展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地毯出口量占全国的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40%”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广交会带来了产业发展机遇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促使上下游关联企业集聚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研发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原材料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物流等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完善产业链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形成完整产业生态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提升产业竞争力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20．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答案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保护作物种质资源对国家安全意义重大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关乎国家粮食安全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生态安全与经济安全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是国家安全的重要支撑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。 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保障粮食安全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稳固农业根基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作物种质资源是育种的基础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如国家水稻种质库保存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8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万多份资源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浙江上山遗址的粳稻万年演化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为水稻品种改良提供基因来源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丰富的种质资源可培育高产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抗病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抗灾品种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应对气候变化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病虫害等威胁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保障粮食稳定供应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避免因品种单一或退化引发粮食减产风险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筑牢粮食安全底线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维护生态安全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稳定生态系统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多样的作物种质资源利于构建稳定生态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山西翼城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珍珠玉米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等杂粮种质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其秸秆可作生物能源原料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替代化石燃料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减少生态污染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同时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种质资源的多样性可增强农田生态系统抗干扰能力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保护生物多样性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维持生态平衡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保障生态安全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。 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支撑经济安全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增强产业韧性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作物种质资源推动农业及关联产业发展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国家油料作物种质库的资源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助力植物油转化生物柴油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拓展能源产业路径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北京丰富的种质库资源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带动育种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种业研发等产业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形成完整产业链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提升农业经济竞争力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减少对国外种质依赖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保障经济安全与产业自主可控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借助人工智能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推动智慧农业发展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：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借助人工智能绘制国家作物种质资源普查示意图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通过数据智能驱动决策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实现种质资源从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被动记录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主动保护与利用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的转变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为保障粮食安全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推动智慧农业发展提供了核心支撑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【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详解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】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先总述种质资源对国家安全的核心意义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粮食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经济安全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再从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粮食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-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-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经济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三个维度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（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对应可持续发展的社会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经济角度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）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展开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覆盖农业生产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生态系统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产业经济等空间与功能尺度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最后概括数字农业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助推农业可持续发展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根据材料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国家水稻种质库保存有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8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万多份种质资源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浙江上山遗址是世界稻作农业的起源地之一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出土了一万年前的炭化稻米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作物种质资源是育种的基础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国家水稻种质库的丰富资源以及浙江上山遗址的稻作历史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为水稻品种改良提供了基因来源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丰富的种质资源能够培育出高产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抗病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抗灾的品种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以此应对气候变化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病虫害等威胁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保障粮食的稳定供应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避免因品种单一或退化而引发粮食减产的风险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从而筑牢粮食安全底线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根据材料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国家特色杂粮作物种质库保存有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77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万多份种质资源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山西翼城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‘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珍珠玉米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’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是我国优异作物种质资源之一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杂粮秸秆可以作为生物质能的原料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提供可再生的绿色能源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多样的作物种质资源有利于构建稳定的生态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像山西翼城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珍珠玉米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这样的杂粮种质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其秸秆可作为生物能源原料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替代化石燃料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减少生态污染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同时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种质资源的多样性能够增强农田生态系统的抗干扰能力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保护生物多样性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维持生态平衡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进而保障生态安全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根据材料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国家油料作物种质库保存有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4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万多份种质资源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植物油转化为生物柴油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可以部分替代化石燃料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北京有国家级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市级作物种质资源保护单位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8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家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保存的种质资源居全国首位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”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可知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作物种质资源能够推动农业及关联产业的发展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国家油料作物种质库的资源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有助于实现植物油向生物柴油的转化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拓展能源产业路径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；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北京丰富的种质库资源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能够带动育种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种业研发等产业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形成完整的产业链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提升农业经济竞争力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减少对国外种质的依赖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保障经济安全与产业自主可控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人工智能绘制国家作物种质资源普查示意图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不仅是技术工具的革新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更是农业资源管理模式的升级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它通过数据智能驱动决策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实现种质资源从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被动记录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到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 “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主动保护与利用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 xml:space="preserve">” 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的转变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，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为保障粮食安全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、</w:t>
      </w:r>
      <w:r>
        <w:rPr>
          <w:rFonts w:ascii="宋体" w:eastAsia="宋体" w:hAnsi="宋体" w:cs="宋体"/>
          <w:color w:val="000000"/>
          <w:sz w:val="21"/>
          <w:shd w:val="clear" w:color="auto" w:fill="auto"/>
          <w:vertAlign w:val="baseline"/>
        </w:rPr>
        <w:t>推动农业可持续发展提供了核心支撑</w:t>
      </w:r>
      <w:r>
        <w:rPr>
          <w:rFonts w:ascii="Times New Roman" w:eastAsia="Times New Roman" w:hAnsi="Times New Roman" w:cs="Times New Roman"/>
          <w:color w:val="000000"/>
          <w:sz w:val="21"/>
          <w:shd w:val="clear" w:color="auto" w:fill="auto"/>
          <w:vertAlign w:val="baseline"/>
        </w:rPr>
        <w:t>。</w:t>
      </w:r>
    </w:p>
    <w:p>
      <w:pPr>
        <w:pStyle w:val="Normal04888266-19a9-4bed-bf27-aedcbbaf91c6"/>
        <w:spacing w:line="320" w:lineRule="auto"/>
        <w:jc w:val="left"/>
        <w:textAlignment w:val="center"/>
        <w:rPr>
          <w:sz w:val="21"/>
        </w:rPr>
      </w:pPr>
    </w:p>
    <w:sectPr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pgSz w:w="11900" w:h="16840" w:orient="portrait"/>
      <w:pgMar w:top="1000" w:right="1800" w:bottom="1200" w:left="1800" w:header="40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jc w:val="center"/>
    </w:pPr>
    <w:r>
      <w:t xml:space="preserve">第 </w:t>
    </w:r>
    <w:r>
      <w:fldChar w:fldCharType="begin"/>
    </w:r>
    <w:r>
      <w:instrText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jc w:val="center"/>
    </w:pPr>
    <w:r>
      <w:t xml:space="preserve">第 </w:t>
    </w:r>
    <w:r>
      <w:fldChar w:fldCharType="begin"/>
    </w:r>
    <w:r>
      <w:instrText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25" o:spid="_x0000_s2049" type="#_x0000_t136" style="width:245.17pt;height:69.81pt;margin-top:0;margin-left:0;mso-position-horizontal:center;mso-position-horizontal-relative:margin;mso-position-vertical:center;mso-position-vertical-relative:margin;position:absolute;rotation:315;z-index:251658240" o:allowincell="f" fillcolor="white" stroked="f">
          <v:fill opacity="0.5"/>
          <v:textpath style="font-family:'Times New Roman';font-size:64pt" string="试题资源网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26" o:spid="_x0000_s2050" type="#_x0000_t136" style="width:245.17pt;height:69.81pt;margin-top:0;margin-left:0;mso-position-horizontal:center;mso-position-horizontal-relative:margin;mso-position-vertical:center;mso-position-vertical-relative:margin;position:absolute;rotation:315;z-index:251659264" o:allowincell="f" fillcolor="white" stroked="f">
          <v:fill opacity="0.5"/>
          <v:textpath style="font-family:'Times New Roman';font-size:64pt" string="试题资源网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27" o:spid="_x0000_s2051" type="#_x0000_t136" style="width:245.17pt;height:69.81pt;margin-top:0;margin-left:0;mso-position-horizontal:center;mso-position-horizontal-relative:margin;mso-position-vertical:center;mso-position-vertical-relative:margin;position:absolute;rotation:315;z-index:251660288" o:allowincell="f" fillcolor="white" stroked="f">
          <v:fill opacity="0.5"/>
          <v:textpath style="font-family:'Times New Roman';font-size:64pt" string="试题资源网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20"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</w:rsids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宋体" w:eastAsia="宋体" w:hAnsi="宋体" w:cs="宋体"/>
      <w:sz w:val="18"/>
      <w:szCs w:val="24"/>
      <w:lang w:val="en-US" w:eastAsia="uk-UA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ubTitleStyle">
    <w:name w:val="subTitleStyle"/>
    <w:basedOn w:val="Normal"/>
    <w:qFormat/>
    <w:rPr>
      <w:rFonts w:ascii="宋体" w:eastAsia="宋体" w:hAnsi="宋体" w:cs="宋体"/>
      <w:b/>
      <w:color w:val="000000"/>
      <w:sz w:val="32"/>
    </w:rPr>
  </w:style>
  <w:style w:type="paragraph" w:customStyle="1" w:styleId="Normal04888266-19a9-4bed-bf27-aedcbbaf91c6">
    <w:name w:val="Normal_04888266-19a9-4bed-bf27-aedcbbaf91c6"/>
    <w:qFormat/>
    <w:rPr>
      <w:rFonts w:ascii="Times New Roman" w:eastAsia="Times New Roman" w:hAnsi="Times New Roman"/>
      <w:sz w:val="24"/>
      <w:szCs w:val="24"/>
      <w:lang w:val="en-US" w:eastAsia="uk-UA" w:bidi="ar-SA"/>
    </w:rPr>
  </w:style>
  <w:style w:type="paragraph" w:customStyle="1" w:styleId="paraStyle">
    <w:name w:val="paraStyle"/>
    <w:basedOn w:val="Normal"/>
    <w:qFormat/>
    <w:rPr>
      <w:b/>
      <w:sz w:val="21"/>
    </w:rPr>
  </w:style>
  <w:style w:type="paragraph" w:customStyle="1" w:styleId="subTitleStyle87a17a98-94d5-40f7-81a6-9b05b630d303">
    <w:name w:val="subTitleStyle_87a17a98-94d5-40f7-81a6-9b05b630d303"/>
    <w:basedOn w:val="Normal04888266-19a9-4bed-bf27-aedcbbaf91c6"/>
    <w:qFormat/>
    <w:rPr>
      <w:rFonts w:ascii="宋体" w:eastAsia="宋体" w:hAnsi="宋体" w:cs="宋体"/>
      <w:b/>
      <w:color w:val="000000"/>
      <w:sz w:val="32"/>
    </w:rPr>
  </w:style>
  <w:style w:type="table" w:styleId="TableGrid">
    <w:name w:val="Table Gri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header" Target="header1.xml" /><Relationship Id="rId21" Type="http://schemas.openxmlformats.org/officeDocument/2006/relationships/header" Target="header2.xml" /><Relationship Id="rId22" Type="http://schemas.openxmlformats.org/officeDocument/2006/relationships/footer" Target="footer1.xml" /><Relationship Id="rId23" Type="http://schemas.openxmlformats.org/officeDocument/2006/relationships/footer" Target="footer2.xml" /><Relationship Id="rId24" Type="http://schemas.openxmlformats.org/officeDocument/2006/relationships/header" Target="header3.xml" /><Relationship Id="rId25" Type="http://schemas.openxmlformats.org/officeDocument/2006/relationships/theme" Target="theme/theme1.xml" /><Relationship Id="rId26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Manager>试题资源</Manager>
  <Company>众望教育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试题资源网试卷</dc:title>
  <dc:subject>试题资源</dc:subject>
  <dc:creator>stzy.com</dc:creator>
  <cp:keywords>试题资源, 试卷,课件，题库，组卷，教案，教学资源，众望教育, 必刷题，必刷卷</cp:keywords>
  <dc:description>试题资源网 题好 卷好 备课好</dc:description>
  <cp:lastModifiedBy>试题资源网</cp:lastModifiedBy>
  <cp:revision>1</cp:revision>
  <dcterms:created xsi:type="dcterms:W3CDTF">2025-06-18T10:25:25Z</dcterms:created>
  <dcterms:modified xsi:type="dcterms:W3CDTF">2025-06-18T10:25:25Z</dcterms:modified>
  <cp:category>试题</cp:category>
</cp:coreProperties>
</file>