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2025年普通高中学业水平选择性考试（河南卷）地理试题（解析版）</w:t>
      </w:r>
    </w:p>
    <w:p>
      <w:pPr>
        <w:pStyle w:val="Normal015ba995-e502-44d9-9f3f-276345a187e8"/>
      </w:pPr>
    </w:p>
    <w:p>
      <w:pPr>
        <w:pStyle w:val="paraStyle"/>
        <w:spacing w:before="200" w:beforeAutospacing="0" w:after="200" w:afterAutospacing="0"/>
      </w:pPr>
      <w:r>
        <w:t>一、单选题</w:t>
      </w:r>
    </w:p>
    <w:p>
      <w:pPr>
        <w:pStyle w:val="Normal015ba995-e502-44d9-9f3f-276345a187e8"/>
        <w:numPr>
          <w:ilvl w:val="0"/>
          <w:numId w:val="0"/>
        </w:numPr>
        <w:spacing w:line="320" w:lineRule="auto"/>
        <w:ind w:firstLine="560"/>
        <w:jc w:val="left"/>
        <w:textAlignment w:val="center"/>
      </w:pPr>
      <w:r>
        <w:rPr>
          <w:rFonts w:ascii="楷体" w:eastAsia="楷体" w:hAnsi="楷体" w:cs="楷体"/>
          <w:color w:val="000000"/>
          <w:sz w:val="21"/>
          <w:shd w:val="clear" w:color="auto" w:fill="auto"/>
          <w:vertAlign w:val="baseline"/>
        </w:rPr>
        <w:t>为推进南水北调后续工程高质量发展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有效缓解豫东地区水资源供需矛盾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优化供水结构</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河南省规划实施南水北调豫东水资源配置工程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该工程从南水北调中线总干渠取水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采用地下管道向豫东地区</w:t>
      </w:r>
      <w:r>
        <w:rPr>
          <w:rFonts w:ascii="Times New Roman" w:eastAsia="Times New Roman" w:hAnsi="Times New Roman" w:cs="Times New Roman"/>
          <w:color w:val="000000"/>
          <w:sz w:val="21"/>
          <w:shd w:val="clear" w:color="auto" w:fill="auto"/>
          <w:vertAlign w:val="baseline"/>
        </w:rPr>
        <w:t>10</w:t>
      </w:r>
      <w:r>
        <w:rPr>
          <w:rFonts w:ascii="楷体" w:eastAsia="楷体" w:hAnsi="楷体" w:cs="楷体"/>
          <w:color w:val="000000"/>
          <w:sz w:val="21"/>
          <w:shd w:val="clear" w:color="auto" w:fill="auto"/>
          <w:vertAlign w:val="baseline"/>
        </w:rPr>
        <w:t>个县区供水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全线通水后受益人口超过</w:t>
      </w:r>
      <w:r>
        <w:rPr>
          <w:rFonts w:ascii="Times New Roman" w:eastAsia="Times New Roman" w:hAnsi="Times New Roman" w:cs="Times New Roman"/>
          <w:color w:val="000000"/>
          <w:sz w:val="21"/>
          <w:shd w:val="clear" w:color="auto" w:fill="auto"/>
          <w:vertAlign w:val="baseline"/>
        </w:rPr>
        <w:t>400</w:t>
      </w:r>
      <w:r>
        <w:rPr>
          <w:rFonts w:ascii="楷体" w:eastAsia="楷体" w:hAnsi="楷体" w:cs="楷体"/>
          <w:color w:val="000000"/>
          <w:sz w:val="21"/>
          <w:shd w:val="clear" w:color="auto" w:fill="auto"/>
          <w:vertAlign w:val="baseline"/>
        </w:rPr>
        <w:t>万人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下图示意南水北调豫东水资源配置工程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015ba995-e502-44d9-9f3f-276345a187e8"/>
        <w:spacing w:line="320" w:lineRule="auto"/>
        <w:ind w:firstLine="560"/>
        <w:jc w:val="left"/>
        <w:textAlignment w:val="center"/>
      </w:pPr>
      <w:r>
        <w:rPr>
          <w:rFonts w:ascii="Times New Roman" w:eastAsia="Times New Roman" w:hAnsi="Times New Roman" w:cs="Times New Roman"/>
          <w:strike w:val="0"/>
          <w:kern w:val="0"/>
          <w:sz w:val="24"/>
          <w:szCs w:val="24"/>
          <w:u w:val="none"/>
        </w:rPr>
        <w:drawing>
          <wp:inline distT="0" distB="0" distL="114300" distR="114300">
            <wp:extent cx="4752975" cy="1952625"/>
            <wp:effectExtent l="0" t="0" r="9525" b="9525"/>
            <wp:docPr id="1" name="_x0000_i102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descr="@@@8990c167-db91-454f-92cb-9b89910da09e"/>
                    <pic:cNvPicPr>
                      <a:picLocks noChangeAspect="1"/>
                    </pic:cNvPicPr>
                  </pic:nvPicPr>
                  <pic:blipFill>
                    <a:blip xmlns:r="http://schemas.openxmlformats.org/officeDocument/2006/relationships" r:embed="rId4"/>
                    <a:stretch>
                      <a:fillRect/>
                    </a:stretch>
                  </pic:blipFill>
                  <pic:spPr>
                    <a:xfrm>
                      <a:off x="0" y="0"/>
                      <a:ext cx="4752975" cy="1952625"/>
                    </a:xfrm>
                    <a:prstGeom prst="rect">
                      <a:avLst/>
                    </a:prstGeom>
                  </pic:spPr>
                </pic:pic>
              </a:graphicData>
            </a:graphic>
          </wp:inline>
        </w:drawing>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与从黄河取水相比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从南水北调中线总干渠取水的主要优势是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水量大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水质优</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供水范围广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输水距离短</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豫东地区对调来的水应优先满足</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生活用水</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农业用水</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工业用水</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生态用水</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该工程的实施有利于豫东地区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解决水污染问题</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缓解地下水超采问题</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减少居民用水量</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构建多水源供水格局</w:t>
      </w:r>
    </w:p>
    <w:p>
      <w:pPr>
        <w:pStyle w:val="Normal015ba995-e502-44d9-9f3f-276345a187e8"/>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D．③④</w:t>
      </w:r>
    </w:p>
    <w:p>
      <w:pPr>
        <w:pStyle w:val="Normal015ba995-e502-44d9-9f3f-276345a187e8"/>
        <w:tabs>
          <w:tab w:val="left" w:pos="2078"/>
          <w:tab w:val="left" w:pos="4156"/>
          <w:tab w:val="left" w:pos="6234"/>
        </w:tabs>
        <w:spacing w:line="320" w:lineRule="auto"/>
        <w:ind w:left="300"/>
        <w:jc w:val="left"/>
        <w:textAlignment w:val="center"/>
        <w:rPr>
          <w:sz w:val="21"/>
        </w:rPr>
      </w:pPr>
    </w:p>
    <w:p>
      <w:pPr>
        <w:pStyle w:val="Normal015ba995-e502-44d9-9f3f-276345a187e8"/>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浙江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福建沿海一带称山间平地为岙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浙江省东部的海岛渔村多选址在三面环山一面向海的山岙中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渔村所居山岙通常避开朝东方向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东门岛上的东门村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位置见图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素有</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浙江第一渔村</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之称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有许多流传千百年的独特渔家节俗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村内建筑布局紧凑</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密度较大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随着渔业效益下降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东门村人在发展海洋捕捞业的同时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深化水产加工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发展海水养殖和海岛旅游业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走出了一条全面发展海洋经济的新道路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552825" cy="1323975"/>
            <wp:effectExtent l="0" t="0" r="9525" b="9525"/>
            <wp:docPr id="2" name="_x0000_i102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26" descr="@@@9ba25e92-e8bf-4d3e-9ea1-4d5a2341c17d"/>
                    <pic:cNvPicPr>
                      <a:picLocks noChangeAspect="1"/>
                    </pic:cNvPicPr>
                  </pic:nvPicPr>
                  <pic:blipFill>
                    <a:blip xmlns:r="http://schemas.openxmlformats.org/officeDocument/2006/relationships" r:embed="rId5"/>
                    <a:stretch>
                      <a:fillRect/>
                    </a:stretch>
                  </pic:blipFill>
                  <pic:spPr>
                    <a:xfrm>
                      <a:off x="0" y="0"/>
                      <a:ext cx="3552825" cy="1323975"/>
                    </a:xfrm>
                    <a:prstGeom prst="rect">
                      <a:avLst/>
                    </a:prstGeom>
                  </pic:spPr>
                </pic:pic>
              </a:graphicData>
            </a:graphic>
          </wp:inline>
        </w:drawing>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浙江省东部海岛渔村选址时避开朝东方向山岙的主要目的是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减轻台风危害</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防御寒潮侵袭</w:t>
      </w:r>
    </w:p>
    <w:p>
      <w:pPr>
        <w:pStyle w:val="Normal015ba995-e502-44d9-9f3f-276345a187e8"/>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便于排水防涝</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方便出海作业</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东门村内部建筑布局紧凑的主要原因是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土地短缺</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河网密布</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植被茂密</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气候湿热</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东门村全面发展海洋经济主要依托</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发达的工商业</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丰富的海洋资源</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独特的文化遗存</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完善的交通网络</w:t>
      </w:r>
    </w:p>
    <w:p>
      <w:pPr>
        <w:pStyle w:val="Normal015ba995-e502-44d9-9f3f-276345a187e8"/>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015ba995-e502-44d9-9f3f-276345a187e8"/>
        <w:tabs>
          <w:tab w:val="left" w:pos="2078"/>
          <w:tab w:val="left" w:pos="4156"/>
          <w:tab w:val="left" w:pos="6234"/>
        </w:tabs>
        <w:spacing w:line="320" w:lineRule="auto"/>
        <w:ind w:left="300"/>
        <w:jc w:val="left"/>
        <w:textAlignment w:val="center"/>
        <w:rPr>
          <w:sz w:val="21"/>
        </w:rPr>
      </w:pPr>
    </w:p>
    <w:p>
      <w:pPr>
        <w:pStyle w:val="Normal015ba995-e502-44d9-9f3f-276345a187e8"/>
        <w:numPr>
          <w:ilvl w:val="0"/>
          <w:numId w:val="0"/>
        </w:numPr>
        <w:spacing w:line="320" w:lineRule="auto"/>
        <w:ind w:firstLine="560"/>
        <w:jc w:val="left"/>
        <w:textAlignment w:val="center"/>
        <w:rPr>
          <w:sz w:val="21"/>
        </w:rPr>
      </w:pP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90</w:t>
      </w:r>
      <w:r>
        <w:rPr>
          <w:rFonts w:ascii="楷体" w:eastAsia="楷体" w:hAnsi="楷体" w:cs="楷体"/>
          <w:color w:val="000000"/>
          <w:sz w:val="21"/>
          <w:shd w:val="clear" w:color="auto" w:fill="auto"/>
          <w:vertAlign w:val="baseline"/>
        </w:rPr>
        <w:t>年代以来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随着中心城区产业</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退二进三</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和人口疏解政策的实施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上海市人口空间分布发生了较大变化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老年人口比例呈现</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中心城区高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郊区低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农村高</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的特征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而中心城区外围形成一个年轻劳动人口集聚的</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年轻环</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上海市中心城区老年人口比例高的原因是中心城区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住房供应充足</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就业机会较多</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年轻人口外迁</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公共服务设施完善</w:t>
      </w:r>
    </w:p>
    <w:p>
      <w:pPr>
        <w:pStyle w:val="Normal015ba995-e502-44d9-9f3f-276345a187e8"/>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D．③④</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北京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广州等城市也出现了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年轻环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这些城市出现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年轻环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的最关键条件是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城市人口众多</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郊区制造业发达</w:t>
      </w:r>
    </w:p>
    <w:p>
      <w:pPr>
        <w:pStyle w:val="Normal015ba995-e502-44d9-9f3f-276345a187e8"/>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城市面积较大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郊区生态环境好</w:t>
      </w:r>
    </w:p>
    <w:p>
      <w:pPr>
        <w:pStyle w:val="Normal015ba995-e502-44d9-9f3f-276345a187e8"/>
        <w:tabs>
          <w:tab w:val="left" w:pos="4156"/>
        </w:tabs>
        <w:spacing w:line="320" w:lineRule="auto"/>
        <w:ind w:left="300"/>
        <w:jc w:val="left"/>
        <w:textAlignment w:val="center"/>
        <w:rPr>
          <w:sz w:val="21"/>
        </w:rPr>
      </w:pPr>
    </w:p>
    <w:p>
      <w:pPr>
        <w:pStyle w:val="Normal015ba995-e502-44d9-9f3f-276345a187e8"/>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窗墙比是指建筑某一个立面窗户面积与该立面总面积之比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是影响建筑内采暖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制冷和照明等能耗的重要因素</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不同地区基于全年建筑能耗最小来确定最优窗墙比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下图为奥斯陆</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59</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57`N</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45`E</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法兰克福</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50</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07`N</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8</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37`E</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罗马</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41</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54`N</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12</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30`E</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南向墙面最优窗墙比下的全年建筑能耗情况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457575" cy="1762125"/>
            <wp:effectExtent l="0" t="0" r="9525" b="9525"/>
            <wp:docPr id="3" name="_x0000_i102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i1027" descr="@@@c95edbf2-d64c-4347-aefb-3716fcff93f1"/>
                    <pic:cNvPicPr>
                      <a:picLocks noChangeAspect="1"/>
                    </pic:cNvPicPr>
                  </pic:nvPicPr>
                  <pic:blipFill>
                    <a:blip xmlns:r="http://schemas.openxmlformats.org/officeDocument/2006/relationships" r:embed="rId6"/>
                    <a:stretch>
                      <a:fillRect/>
                    </a:stretch>
                  </pic:blipFill>
                  <pic:spPr>
                    <a:xfrm>
                      <a:off x="0" y="0"/>
                      <a:ext cx="3457575" cy="1762125"/>
                    </a:xfrm>
                    <a:prstGeom prst="rect">
                      <a:avLst/>
                    </a:prstGeom>
                  </pic:spPr>
                </pic:pic>
              </a:graphicData>
            </a:graphic>
          </wp:inline>
        </w:drawing>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乙分别代表的城市是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罗马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奥斯陆</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法兰克福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罗马</w:t>
      </w:r>
    </w:p>
    <w:p>
      <w:pPr>
        <w:pStyle w:val="Normal015ba995-e502-44d9-9f3f-276345a187e8"/>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罗马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法兰克福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法兰克福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奥斯陆</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丙城市南向墙面的最优窗墙比分别为</w:t>
      </w:r>
      <w:r>
        <w:rPr>
          <w:rFonts w:ascii="Times New Roman" w:eastAsia="Times New Roman" w:hAnsi="Times New Roman" w:cs="Times New Roman"/>
          <w:color w:val="000000"/>
          <w:sz w:val="21"/>
          <w:shd w:val="clear" w:color="auto" w:fill="auto"/>
          <w:vertAlign w:val="baseline"/>
        </w:rPr>
        <w:t>0.27</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0.56。</w:t>
      </w:r>
      <w:r>
        <w:rPr>
          <w:rFonts w:ascii="宋体" w:eastAsia="宋体" w:hAnsi="宋体" w:cs="宋体"/>
          <w:color w:val="000000"/>
          <w:sz w:val="21"/>
          <w:shd w:val="clear" w:color="auto" w:fill="auto"/>
          <w:vertAlign w:val="baseline"/>
        </w:rPr>
        <w:t>甲城市最优窗墙比小于丙城市的原因是甲城市</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夏季白昼时间较长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照明能耗较小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夏季正午太阳高度较大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制冷能耗较大</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冬季降水较多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采暖能耗较小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年平均气温较低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全年建筑能耗较小</w:t>
      </w:r>
    </w:p>
    <w:p>
      <w:pPr>
        <w:pStyle w:val="Normal015ba995-e502-44d9-9f3f-276345a187e8"/>
        <w:tabs>
          <w:tab w:val="left" w:pos="4156"/>
        </w:tabs>
        <w:spacing w:line="320" w:lineRule="auto"/>
        <w:ind w:left="380"/>
        <w:jc w:val="left"/>
        <w:textAlignment w:val="center"/>
        <w:rPr>
          <w:sz w:val="21"/>
        </w:rPr>
      </w:pPr>
    </w:p>
    <w:p>
      <w:pPr>
        <w:pStyle w:val="Normal015ba995-e502-44d9-9f3f-276345a187e8"/>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为探究降雨过程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土壤含水量与洪峰流量的关系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某科研小组在小流域模拟了形成相同洪峰流量的降雨过程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表为</w:t>
      </w:r>
      <w:r>
        <w:rPr>
          <w:rFonts w:ascii="Times New Roman" w:eastAsia="Times New Roman" w:hAnsi="Times New Roman" w:cs="Times New Roman"/>
          <w:color w:val="000000"/>
          <w:sz w:val="21"/>
          <w:shd w:val="clear" w:color="auto" w:fill="auto"/>
          <w:vertAlign w:val="baseline"/>
        </w:rPr>
        <w:t>3</w:t>
      </w:r>
      <w:r>
        <w:rPr>
          <w:rFonts w:ascii="楷体" w:eastAsia="楷体" w:hAnsi="楷体" w:cs="楷体"/>
          <w:color w:val="000000"/>
          <w:sz w:val="21"/>
          <w:shd w:val="clear" w:color="auto" w:fill="auto"/>
          <w:vertAlign w:val="baseline"/>
        </w:rPr>
        <w:t>次降雨过程数据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雨量单位</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mm</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3</w:t>
      </w:r>
      <w:r>
        <w:rPr>
          <w:rFonts w:ascii="楷体" w:eastAsia="楷体" w:hAnsi="楷体" w:cs="楷体"/>
          <w:color w:val="000000"/>
          <w:sz w:val="21"/>
          <w:shd w:val="clear" w:color="auto" w:fill="auto"/>
          <w:vertAlign w:val="baseline"/>
        </w:rPr>
        <w:t>次降雨前土壤含水量相同且偏低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tbl>
      <w:tblPr>
        <w:tblStyle w:val="TableNormal"/>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
      <w:tblGrid>
        <w:gridCol w:w="1017"/>
        <w:gridCol w:w="1047"/>
        <w:gridCol w:w="1048"/>
        <w:gridCol w:w="1048"/>
        <w:gridCol w:w="1048"/>
        <w:gridCol w:w="1048"/>
        <w:gridCol w:w="1048"/>
        <w:gridCol w:w="1021"/>
      </w:tblGrid>
      <w:tr>
        <w:tblPrEx>
          <w:tblW w:w="83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600"/>
        </w:tblPrEx>
        <w:trPr>
          <w:trHeight w:hRule="auto" w:val="0"/>
        </w:trPr>
        <w:tc>
          <w:tcPr>
            <w:tcW w:w="1035" w:type="dxa"/>
            <w:vMerge w:val="restart"/>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降雨序号</w:t>
            </w:r>
          </w:p>
        </w:tc>
        <w:tc>
          <w:tcPr>
            <w:tcW w:w="6240" w:type="dxa"/>
            <w:gridSpan w:val="6"/>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时段雨量</w:t>
            </w:r>
          </w:p>
        </w:tc>
        <w:tc>
          <w:tcPr>
            <w:tcW w:w="1035" w:type="dxa"/>
            <w:vMerge w:val="restart"/>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降雨总量</w:t>
            </w:r>
          </w:p>
        </w:tc>
      </w:tr>
      <w:tr>
        <w:tblPrEx>
          <w:tblW w:w="8325" w:type="dxa"/>
          <w:tblInd w:w="0" w:type="dxa"/>
          <w:tblCellMar>
            <w:top w:w="120" w:type="dxa"/>
            <w:left w:w="120" w:type="dxa"/>
            <w:bottom w:w="120" w:type="dxa"/>
            <w:right w:w="120" w:type="dxa"/>
          </w:tblCellMar>
          <w:tblLook w:val="0600"/>
        </w:tblPrEx>
        <w:trPr>
          <w:trHeight w:hRule="auto" w:val="0"/>
        </w:trPr>
        <w:tc>
          <w:tcPr>
            <w:tcW w:w="0" w:type="auto"/>
            <w:vMerge/>
            <w:tcBorders>
              <w:top w:val="single" w:sz="6" w:space="0" w:color="auto"/>
              <w:left w:val="single" w:sz="6" w:space="0" w:color="auto"/>
              <w:bottom w:val="single" w:sz="6" w:space="0" w:color="auto"/>
              <w:right w:val="single" w:sz="6" w:space="0" w:color="auto"/>
            </w:tcBorders>
          </w:tcPr>
          <w:p>
            <w:pPr>
              <w:pStyle w:val="Normal015ba995-e502-44d9-9f3f-276345a187e8"/>
              <w:shd w:val="clear" w:color="auto" w:fill="auto"/>
              <w:spacing w:line="320" w:lineRule="auto"/>
              <w:jc w:val="left"/>
              <w:textAlignment w:val="center"/>
              <w:rPr>
                <w:sz w:val="21"/>
              </w:rPr>
            </w:pPr>
          </w:p>
        </w:tc>
        <w:tc>
          <w:tcPr>
            <w:tcW w:w="1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1</w:t>
            </w:r>
            <w:r>
              <w:rPr>
                <w:rFonts w:ascii="楷体" w:eastAsia="楷体" w:hAnsi="楷体" w:cs="楷体"/>
                <w:color w:val="000000"/>
                <w:sz w:val="21"/>
                <w:shd w:val="clear" w:color="auto" w:fill="auto"/>
                <w:vertAlign w:val="baseline"/>
              </w:rPr>
              <w:t>小时</w:t>
            </w:r>
          </w:p>
        </w:tc>
        <w:tc>
          <w:tcPr>
            <w:tcW w:w="1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小时</w:t>
            </w:r>
          </w:p>
        </w:tc>
        <w:tc>
          <w:tcPr>
            <w:tcW w:w="1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3</w:t>
            </w:r>
            <w:r>
              <w:rPr>
                <w:rFonts w:ascii="楷体" w:eastAsia="楷体" w:hAnsi="楷体" w:cs="楷体"/>
                <w:color w:val="000000"/>
                <w:sz w:val="21"/>
                <w:shd w:val="clear" w:color="auto" w:fill="auto"/>
                <w:vertAlign w:val="baseline"/>
              </w:rPr>
              <w:t>小时</w:t>
            </w:r>
          </w:p>
        </w:tc>
        <w:tc>
          <w:tcPr>
            <w:tcW w:w="1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4</w:t>
            </w:r>
            <w:r>
              <w:rPr>
                <w:rFonts w:ascii="楷体" w:eastAsia="楷体" w:hAnsi="楷体" w:cs="楷体"/>
                <w:color w:val="000000"/>
                <w:sz w:val="21"/>
                <w:shd w:val="clear" w:color="auto" w:fill="auto"/>
                <w:vertAlign w:val="baseline"/>
              </w:rPr>
              <w:t>小时</w:t>
            </w:r>
          </w:p>
        </w:tc>
        <w:tc>
          <w:tcPr>
            <w:tcW w:w="1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5</w:t>
            </w:r>
            <w:r>
              <w:rPr>
                <w:rFonts w:ascii="楷体" w:eastAsia="楷体" w:hAnsi="楷体" w:cs="楷体"/>
                <w:color w:val="000000"/>
                <w:sz w:val="21"/>
                <w:shd w:val="clear" w:color="auto" w:fill="auto"/>
                <w:vertAlign w:val="baseline"/>
              </w:rPr>
              <w:t>小时</w:t>
            </w:r>
          </w:p>
        </w:tc>
        <w:tc>
          <w:tcPr>
            <w:tcW w:w="106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楷体" w:eastAsia="楷体" w:hAnsi="楷体" w:cs="楷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6</w:t>
            </w:r>
            <w:r>
              <w:rPr>
                <w:rFonts w:ascii="楷体" w:eastAsia="楷体" w:hAnsi="楷体" w:cs="楷体"/>
                <w:color w:val="000000"/>
                <w:sz w:val="21"/>
                <w:shd w:val="clear" w:color="auto" w:fill="auto"/>
                <w:vertAlign w:val="baseline"/>
              </w:rPr>
              <w:t>小时</w:t>
            </w:r>
          </w:p>
        </w:tc>
        <w:tc>
          <w:tcPr>
            <w:tcW w:w="0" w:type="auto"/>
            <w:vMerge/>
            <w:tcBorders>
              <w:top w:val="single" w:sz="6" w:space="0" w:color="auto"/>
              <w:left w:val="single" w:sz="6" w:space="0" w:color="auto"/>
              <w:bottom w:val="single" w:sz="6" w:space="0" w:color="auto"/>
              <w:right w:val="single" w:sz="6" w:space="0" w:color="auto"/>
            </w:tcBorders>
          </w:tcPr>
          <w:p>
            <w:pPr>
              <w:pStyle w:val="Normal015ba995-e502-44d9-9f3f-276345a187e8"/>
              <w:shd w:val="clear" w:color="auto" w:fill="auto"/>
              <w:spacing w:line="320" w:lineRule="auto"/>
              <w:jc w:val="left"/>
              <w:textAlignment w:val="center"/>
              <w:rPr>
                <w:sz w:val="21"/>
              </w:rPr>
            </w:pPr>
          </w:p>
        </w:tc>
      </w:tr>
      <w:tr>
        <w:tblPrEx>
          <w:tblW w:w="8325" w:type="dxa"/>
          <w:tblInd w:w="0" w:type="dxa"/>
          <w:tblCellMar>
            <w:top w:w="120" w:type="dxa"/>
            <w:left w:w="120" w:type="dxa"/>
            <w:bottom w:w="120" w:type="dxa"/>
            <w:right w:w="120" w:type="dxa"/>
          </w:tblCellMar>
          <w:tblLook w:val="0600"/>
        </w:tblPrEx>
        <w:trPr>
          <w:trHeight w:hRule="auto" w:val="0"/>
        </w:trPr>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60</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48</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32</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165</w:t>
            </w:r>
          </w:p>
        </w:tc>
      </w:tr>
      <w:tr>
        <w:tblPrEx>
          <w:tblW w:w="8325" w:type="dxa"/>
          <w:tblInd w:w="0" w:type="dxa"/>
          <w:tblCellMar>
            <w:top w:w="120" w:type="dxa"/>
            <w:left w:w="120" w:type="dxa"/>
            <w:bottom w:w="120" w:type="dxa"/>
            <w:right w:w="120" w:type="dxa"/>
          </w:tblCellMar>
          <w:tblLook w:val="0600"/>
        </w:tblPrEx>
        <w:trPr>
          <w:trHeight w:hRule="auto" w:val="0"/>
        </w:trPr>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20</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42</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55</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150</w:t>
            </w:r>
          </w:p>
        </w:tc>
      </w:tr>
      <w:tr>
        <w:tblPrEx>
          <w:tblW w:w="8325" w:type="dxa"/>
          <w:tblInd w:w="0" w:type="dxa"/>
          <w:tblCellMar>
            <w:top w:w="120" w:type="dxa"/>
            <w:left w:w="120" w:type="dxa"/>
            <w:bottom w:w="120" w:type="dxa"/>
            <w:right w:w="120" w:type="dxa"/>
          </w:tblCellMar>
          <w:tblLook w:val="0600"/>
        </w:tblPrEx>
        <w:trPr>
          <w:trHeight w:hRule="auto" w:val="0"/>
        </w:trPr>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23</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32</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42</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p>
        </w:tc>
        <w:tc>
          <w:tcPr>
            <w:tcW w:w="1035" w:type="dxa"/>
            <w:tcBorders>
              <w:top w:val="single" w:sz="6" w:space="0" w:color="auto"/>
              <w:left w:val="single" w:sz="6" w:space="0" w:color="auto"/>
              <w:bottom w:val="single" w:sz="6" w:space="0" w:color="auto"/>
              <w:right w:val="single" w:sz="6" w:space="0" w:color="auto"/>
            </w:tcBorders>
            <w:noWrap w:val="0"/>
            <w:tcMar>
              <w:top w:w="75" w:type="dxa"/>
              <w:left w:w="120" w:type="dxa"/>
              <w:bottom w:w="75" w:type="dxa"/>
              <w:right w:w="120" w:type="dxa"/>
            </w:tcMar>
            <w:vAlign w:val="center"/>
          </w:tcPr>
          <w:p>
            <w:pPr>
              <w:pStyle w:val="Normal015ba995-e502-44d9-9f3f-276345a187e8"/>
              <w:shd w:val="clear" w:color="auto" w:fill="auto"/>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143</w:t>
            </w:r>
          </w:p>
        </w:tc>
      </w:tr>
    </w:tbl>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次降雨过程中</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次降雨强度大于第</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次降雨峰值出现时间晚于第</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次</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和第</w:t>
      </w: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次降雨过程相似</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次降雨峰值出现时间早于第</w:t>
      </w: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次</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次降雨形成相同洪峰流量的降雨总量最小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其主要原因是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前期下渗量小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后期形成的地下径流量大</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前期蒸发量小</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后期形成的地表径流量大</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如果降雨过程与第</w:t>
      </w: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次相似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降雨前土壤含水量偏高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则形成相同洪峰流量的</w:t>
      </w: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小时降雨总量可能是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A．125mm</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B．145mm</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C．155mm</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D．170mm</w:t>
      </w:r>
    </w:p>
    <w:p>
      <w:pPr>
        <w:pStyle w:val="Normal015ba995-e502-44d9-9f3f-276345a187e8"/>
        <w:tabs>
          <w:tab w:val="left" w:pos="2078"/>
          <w:tab w:val="left" w:pos="4156"/>
          <w:tab w:val="left" w:pos="6234"/>
        </w:tabs>
        <w:spacing w:line="320" w:lineRule="auto"/>
        <w:ind w:left="380"/>
        <w:jc w:val="left"/>
        <w:textAlignment w:val="center"/>
        <w:rPr>
          <w:sz w:val="21"/>
        </w:rPr>
      </w:pPr>
    </w:p>
    <w:p>
      <w:pPr>
        <w:pStyle w:val="Normal015ba995-e502-44d9-9f3f-276345a187e8"/>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沉积地层是记录区域环境演化的天然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档案</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塔吉克盆地北临天山</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东临帕米尔高原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地处西风带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古近纪早中期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塔吉克盆地和帕米尔高原地区曾是海洋</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并经历多次海侵海退事件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后随着帕米尔高原抬升</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古海洋从塔吉克盆地退出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下图示意塔吉克盆地东北部地层剖面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429125" cy="1857375"/>
            <wp:effectExtent l="0" t="0" r="0" b="0"/>
            <wp:docPr id="4" name="_x0000_i102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_i1028" descr="@@@f5fe19508992438c84ffba971ed7cbb5"/>
                    <pic:cNvPicPr>
                      <a:picLocks noChangeAspect="1"/>
                    </pic:cNvPicPr>
                  </pic:nvPicPr>
                  <pic:blipFill>
                    <a:blip xmlns:r="http://schemas.openxmlformats.org/officeDocument/2006/relationships" r:embed="rId7"/>
                    <a:stretch>
                      <a:fillRect/>
                    </a:stretch>
                  </pic:blipFill>
                  <pic:spPr>
                    <a:xfrm>
                      <a:off x="0" y="0"/>
                      <a:ext cx="4429125" cy="1857375"/>
                    </a:xfrm>
                    <a:prstGeom prst="rect">
                      <a:avLst/>
                    </a:prstGeom>
                  </pic:spPr>
                </pic:pic>
              </a:graphicData>
            </a:graphic>
          </wp:inline>
        </w:drawing>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塔吉克盆地经历多次海侵海退事件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地层剖面图中可见的证据是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浅海沉积地层下有基岩存在</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浅海沉积地层上有黄土状堆积</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浅海沉积地层与河流沉积地层交替</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浅海沉积地层厚度显著大于其它地层</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从塔吉克盆地东北部地层剖面图可知</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褶皱发生的时间早于中新世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始新世晚期气候趋于干旱</w:t>
      </w:r>
    </w:p>
    <w:p>
      <w:pPr>
        <w:pStyle w:val="Normal015ba995-e502-44d9-9f3f-276345a187e8"/>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古海洋退出时间晚于渐新世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渐新世流水侵蚀作用强烈</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帕米尔高原抬升至开始显著影响西风气流的时期最可能是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015ba995-e502-44d9-9f3f-276345a187e8"/>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始新世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渐新世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中新世</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上新世</w:t>
      </w:r>
    </w:p>
    <w:p>
      <w:pPr>
        <w:pStyle w:val="Normal015ba995-e502-44d9-9f3f-276345a187e8"/>
        <w:tabs>
          <w:tab w:val="left" w:pos="2078"/>
          <w:tab w:val="left" w:pos="4156"/>
          <w:tab w:val="left" w:pos="6234"/>
        </w:tabs>
        <w:spacing w:line="320" w:lineRule="auto"/>
        <w:ind w:left="380"/>
        <w:jc w:val="left"/>
        <w:textAlignment w:val="center"/>
        <w:rPr>
          <w:sz w:val="21"/>
        </w:rPr>
      </w:pPr>
    </w:p>
    <w:p>
      <w:pPr>
        <w:pStyle w:val="Normal015ba995-e502-44d9-9f3f-276345a187e8"/>
      </w:pPr>
    </w:p>
    <w:p>
      <w:pPr>
        <w:pStyle w:val="paraStyle"/>
        <w:spacing w:before="200" w:beforeAutospacing="0" w:after="200" w:afterAutospacing="0"/>
      </w:pPr>
      <w:r>
        <w:t>二、综合题</w:t>
      </w:r>
    </w:p>
    <w:p>
      <w:pPr>
        <w:pStyle w:val="Normal015ba995-e502-44d9-9f3f-276345a187e8"/>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燕子矶片区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位置见下图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是南京老化工集中区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被誉为</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南京化工摇篮</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新中国成立后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部分国有化工厂在该片区布局</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世纪八九十年代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化工企业开始聚集</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集群迅速扩大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德国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荷兰等国的企业入驻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该片区成为全国知名的化工基地</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2007</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南京市开始实施化工企业搬迁计划</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该片区大型化工企业迁入南京化工园区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规模较小企业迁往苏北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安徽等地</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2012</w:t>
      </w:r>
      <w:r>
        <w:rPr>
          <w:rFonts w:ascii="楷体" w:eastAsia="楷体" w:hAnsi="楷体" w:cs="楷体"/>
          <w:color w:val="000000"/>
          <w:sz w:val="21"/>
          <w:shd w:val="clear" w:color="auto" w:fill="auto"/>
          <w:vertAlign w:val="baseline"/>
        </w:rPr>
        <w:t>年以来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该片区调整土地用途</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成功转型为生态宜居滨江综合服务型新城区</w:t>
      </w:r>
      <w:r>
        <w:rPr>
          <w:rFonts w:ascii="楷体" w:eastAsia="楷体" w:hAnsi="楷体" w:cs="楷体"/>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009900" cy="1752600"/>
            <wp:effectExtent l="0" t="0" r="0" b="0"/>
            <wp:docPr id="5" name="_x0000_i102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descr="@@@5336a3fb-aaa2-4960-a4ea-400c421b7169"/>
                    <pic:cNvPicPr>
                      <a:picLocks noChangeAspect="1"/>
                    </pic:cNvPicPr>
                  </pic:nvPicPr>
                  <pic:blipFill>
                    <a:blip xmlns:r="http://schemas.openxmlformats.org/officeDocument/2006/relationships" r:embed="rId8"/>
                    <a:stretch>
                      <a:fillRect/>
                    </a:stretch>
                  </pic:blipFill>
                  <pic:spPr>
                    <a:xfrm>
                      <a:off x="0" y="0"/>
                      <a:ext cx="3009900" cy="1752600"/>
                    </a:xfrm>
                    <a:prstGeom prst="rect">
                      <a:avLst/>
                    </a:prstGeom>
                  </pic:spPr>
                </pic:pic>
              </a:graphicData>
            </a:graphic>
          </wp:inline>
        </w:drawing>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分析燕子矶片区形成化工产业集群的社会经济条件</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说明大型化工企业能够迁入南京化工园区的自身优势</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简述</w:t>
      </w:r>
      <w:r>
        <w:rPr>
          <w:rFonts w:ascii="Times New Roman" w:eastAsia="Times New Roman" w:hAnsi="Times New Roman" w:cs="Times New Roman"/>
          <w:color w:val="000000"/>
          <w:sz w:val="21"/>
          <w:shd w:val="clear" w:color="auto" w:fill="auto"/>
          <w:vertAlign w:val="baseline"/>
        </w:rPr>
        <w:t>2012</w:t>
      </w:r>
      <w:r>
        <w:rPr>
          <w:rFonts w:ascii="宋体" w:eastAsia="宋体" w:hAnsi="宋体" w:cs="宋体"/>
          <w:color w:val="000000"/>
          <w:sz w:val="21"/>
          <w:shd w:val="clear" w:color="auto" w:fill="auto"/>
          <w:vertAlign w:val="baseline"/>
        </w:rPr>
        <w:t>年以来燕子矶片区土地用途调整的方向及效益</w:t>
      </w:r>
      <w:r>
        <w:rPr>
          <w:rFonts w:ascii="Times New Roman" w:eastAsia="Times New Roman" w:hAnsi="Times New Roman" w:cs="Times New Roman"/>
          <w:color w:val="000000"/>
          <w:sz w:val="21"/>
          <w:shd w:val="clear" w:color="auto" w:fill="auto"/>
          <w:vertAlign w:val="baseline"/>
        </w:rPr>
        <w:t>。</w:t>
      </w:r>
    </w:p>
    <w:p>
      <w:pPr>
        <w:pStyle w:val="Normal015ba995-e502-44d9-9f3f-276345a187e8"/>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充填复垦是采煤沉陷地恢复土地生产力的常用方式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通常利用粉煤灰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煤矸石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泥沙等充填沉陷地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然后覆盖一定厚度的土壤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山东邱集煤矿地处黄河下游冲积平原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煤矿开采后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耕地大面积沉陷</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并存在季节性积水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不能耕种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某研究团队利用附近引黄总干渠淤积泥沙对沉陷地进行充填复垦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为研究不同充填方式的复垦效果</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开展两组试验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结果表明试验</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粮食产量显著高于试验</w:t>
      </w:r>
      <w:r>
        <w:rPr>
          <w:rFonts w:ascii="Times New Roman" w:eastAsia="Times New Roman" w:hAnsi="Times New Roman" w:cs="Times New Roman"/>
          <w:color w:val="000000"/>
          <w:sz w:val="21"/>
          <w:shd w:val="clear" w:color="auto" w:fill="auto"/>
          <w:vertAlign w:val="baseline"/>
        </w:rPr>
        <w:t>1</w:t>
      </w:r>
      <w:r>
        <w:rPr>
          <w:rFonts w:ascii="楷体" w:eastAsia="楷体" w:hAnsi="楷体" w:cs="楷体"/>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210050" cy="2076450"/>
            <wp:effectExtent l="0" t="0" r="0" b="0"/>
            <wp:docPr id="6" name="_x0000_i103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_x0000_i1030" descr="@@@2acedea5d3164b7a9763270f37d598ac"/>
                    <pic:cNvPicPr>
                      <a:picLocks noChangeAspect="1"/>
                    </pic:cNvPicPr>
                  </pic:nvPicPr>
                  <pic:blipFill>
                    <a:blip xmlns:r="http://schemas.openxmlformats.org/officeDocument/2006/relationships" r:embed="rId9"/>
                    <a:stretch>
                      <a:fillRect/>
                    </a:stretch>
                  </pic:blipFill>
                  <pic:spPr>
                    <a:xfrm>
                      <a:off x="0" y="0"/>
                      <a:ext cx="4210050" cy="2076450"/>
                    </a:xfrm>
                    <a:prstGeom prst="rect">
                      <a:avLst/>
                    </a:prstGeom>
                  </pic:spPr>
                </pic:pic>
              </a:graphicData>
            </a:graphic>
          </wp:inline>
        </w:drawing>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指出引黄总干渠淤积泥沙替代粉煤灰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煤矸石充填沉陷地的优势</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说明试验</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粮食产量显著高于试验</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的主要原因</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基于传统的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先开采后复垦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该研究团队进一步提出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边开采边复垦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的新模式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分析新模式对保障国家粮食安全的作用</w:t>
      </w:r>
      <w:r>
        <w:rPr>
          <w:rFonts w:ascii="Times New Roman" w:eastAsia="Times New Roman" w:hAnsi="Times New Roman" w:cs="Times New Roman"/>
          <w:color w:val="000000"/>
          <w:sz w:val="21"/>
          <w:shd w:val="clear" w:color="auto" w:fill="auto"/>
          <w:vertAlign w:val="baseline"/>
        </w:rPr>
        <w:t>。</w:t>
      </w:r>
    </w:p>
    <w:p>
      <w:pPr>
        <w:pStyle w:val="Normal015ba995-e502-44d9-9f3f-276345a187e8"/>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在撒哈拉沙漠南缘的萨赫勒地区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非常平缓的坡面上发育着灌丛带和裸地交替排列的带状景观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灌丛带和裸地沿等高线排列</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因形似老虎花纹</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又被称为虎纹灌丛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带状景观中裸地土壤渗透率低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降水多形成面状水流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并蓄积在下坡向的灌丛带中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灌丛带由草本先锋区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灌木核心区和枯木退化区三部分组成</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多年监测显示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灌丛带向上坡缓慢移动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下图为萨赫勒地区虎纹灌丛遥感影像及景观示意图</w:t>
      </w:r>
      <w:r>
        <w:rPr>
          <w:rFonts w:ascii="楷体" w:eastAsia="楷体" w:hAnsi="楷体" w:cs="楷体"/>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714875" cy="1819275"/>
            <wp:effectExtent l="0" t="0" r="0" b="0"/>
            <wp:docPr id="7" name="_x0000_i103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i1031" descr="@@@5064b6b59cc5433d9b3d93cb4f545541"/>
                    <pic:cNvPicPr>
                      <a:picLocks noChangeAspect="1"/>
                    </pic:cNvPicPr>
                  </pic:nvPicPr>
                  <pic:blipFill>
                    <a:blip xmlns:r="http://schemas.openxmlformats.org/officeDocument/2006/relationships" r:embed="rId10"/>
                    <a:stretch>
                      <a:fillRect/>
                    </a:stretch>
                  </pic:blipFill>
                  <pic:spPr>
                    <a:xfrm>
                      <a:off x="0" y="0"/>
                      <a:ext cx="4714875" cy="1819275"/>
                    </a:xfrm>
                    <a:prstGeom prst="rect">
                      <a:avLst/>
                    </a:prstGeom>
                  </pic:spPr>
                </pic:pic>
              </a:graphicData>
            </a:graphic>
          </wp:inline>
        </w:drawing>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说明非常平缓的坡面有利于灌丛带发育的原因</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分析虎纹灌丛中裸地难以发育植被的水分条件</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分析灌丛带向上坡缓慢移动的过程</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假设该地区降水增多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推测虎纹灌丛可能发生的变化</w:t>
      </w:r>
      <w:r>
        <w:rPr>
          <w:rFonts w:ascii="Times New Roman" w:eastAsia="Times New Roman" w:hAnsi="Times New Roman" w:cs="Times New Roman"/>
          <w:color w:val="000000"/>
          <w:sz w:val="21"/>
          <w:shd w:val="clear" w:color="auto" w:fill="auto"/>
          <w:vertAlign w:val="baseline"/>
        </w:rPr>
        <w:t>。</w:t>
      </w:r>
    </w:p>
    <w:p>
      <w:pPr>
        <w:pStyle w:val="subTitleStyle4890f99d-36d5-41c7-a3dd-1164f5e877e3"/>
        <w:spacing w:before="600" w:after="600" w:afterAutospacing="0"/>
        <w:jc w:val="center"/>
      </w:pPr>
      <w:r>
        <w:br w:type="page"/>
      </w:r>
      <w:r>
        <w:t>参考答案</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C</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黄河虽为我国第二长河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总体水量较丰富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但南水北调中线水源地为丹江口水库等部分河段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尤其下游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因流域用水等因素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水量不稳定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且中线总干渠的水量经合理调配保障供水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并非因其水量大而优于从黄河取水</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南水北调中线水源地生态环境良好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丹江口水库等水质优良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黄河流经区域广泛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受沿岸排污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水土流失等影响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部分河段水质较差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因此从南水北调中线总干渠取水的主要优势在于水质优良</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供水范围由工程规划与需求等决定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本题比较的是取水水源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而非供水范围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从南水北调中线总干渠取水并不意味着供水范围必然更广</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从图及实际情况来看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向豫东地区供水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从南水北调中线总干渠取水的输水距离不一定比从黄河取水短</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在水资源调配中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生活用水直接关系民生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是保障居民基本生活需求的关键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只有优先满足生活用水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才能确保居民的日常用水需求</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农业用水虽重要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但相比生活用水的基础性和必要性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其优先级较低</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工业用水可通过节水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水资源循环利用等方式进行调节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优先级低于生活用水</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生态用水对生态保护意义重大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但在水资源紧张调配时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需首先保障居民的基本生活用水</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该调水工程的主要作用是增加水资源供给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无法直接解决水污染问题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水污染需依靠污水处理等措施处理</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调水后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豫东地区可用地表水增加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能减少地下水开采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进而缓解地下水超采问题</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调水旨在保障和优化供水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并非减少居民用水量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反而有助于保障居民用水</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该工程从南水北调中线总干渠取水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为豫东地区增加了水源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有利于构建多水源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本地水</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外调水等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供水格局</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，A、B、D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C</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浙江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福建沿海地区是台风的高发地带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台风通常从东方海域生成并袭来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渔村选址避开朝东方向的山岙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能够借助山体作为天然屏障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有效阻挡台风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从而减轻台风带来的狂风肆虐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风暴潮冲击等危害</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该区域地处我国东南沿海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距离寒潮源地较远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受寒潮影响较小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并且寒潮主要是从北方南下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并非来自东方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所以与避开朝东方向无关</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排水防涝主要取决于地形坡度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排水系统的完善程度等因素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和渔村避开朝东方向的选址并无直接关联</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避开朝东方向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出海路线会受到一定限制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并不利于直接朝东出海作业</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宋体" w:eastAsia="宋体" w:hAnsi="宋体" w:cs="宋体"/>
          <w:color w:val="000000"/>
          <w:sz w:val="21"/>
          <w:shd w:val="clear" w:color="auto" w:fill="auto"/>
          <w:vertAlign w:val="baseline"/>
        </w:rPr>
        <w:t>东门村地处海岛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土地资源十分有限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为了实现土地的高效利用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其建筑布局呈现出紧凑的特点</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从材料中无法看出河网密布对其建筑布局产生影响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而且结合等高线信息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该区域地形存在一定起伏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难以判断河网是否密布到足以决定建筑紧凑布局的程度</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植被茂密程度与建筑布局紧凑与否关联性较小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建筑布局更多地是基于土地利用效率等实际需求进行规划</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气候湿热主要影响建筑的通风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防潮等设计风格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并非是导致建筑布局紧凑的主要原因</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材料中并没有相关信息表明东门村工商业发达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作为渔村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其发展主要依赖海洋资源</w:t>
      </w:r>
      <w:r>
        <w:rPr>
          <w:rFonts w:ascii="Times New Roman" w:eastAsia="Times New Roman" w:hAnsi="Times New Roman" w:cs="Times New Roman"/>
          <w:color w:val="000000"/>
          <w:sz w:val="21"/>
          <w:shd w:val="clear" w:color="auto" w:fill="auto"/>
          <w:vertAlign w:val="baseline"/>
        </w:rPr>
        <w:t xml:space="preserve"> ，①</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东门村发展海洋捕捞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水产加工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海水养殖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得益于当地丰富的海洋生物资源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发展海岛旅游业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则依托于独特的海洋海岛自然景观资源</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当地流传千百年的独特渔家节俗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具有浓郁的地方文化特色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为海岛旅游业增添了吸引力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有利于旅游业的发展</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材料未提及东门村交通网络完善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且海岛地区交通相对不便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交通并非其发展的主要依托</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，②③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B</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中心城区由于土地资源紧张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住房建设空间受限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导致住房供应不足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房价普遍较高</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随着中心城区推进产业</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退二进三</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战略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传统制造业逐渐外迁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相关就业岗位减少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使得年轻人为寻求更多就业机会而外迁</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大量年轻人口因政策引导和就业机会外迁后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中心城区的人口结构发生变化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老年人口比例相对上升</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中心城区凭借完善的医疗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交通等公共服务设施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对老年人具有较强的吸引力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促使众多老年人选择在此定居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进一步提高了老年人口占比</w:t>
      </w:r>
      <w:r>
        <w:rPr>
          <w:rFonts w:ascii="Times New Roman" w:eastAsia="Times New Roman" w:hAnsi="Times New Roman" w:cs="Times New Roman"/>
          <w:color w:val="000000"/>
          <w:sz w:val="21"/>
          <w:shd w:val="clear" w:color="auto" w:fill="auto"/>
          <w:vertAlign w:val="baseline"/>
        </w:rPr>
        <w:t xml:space="preserve"> ，④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，ABC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城市人口众多是大多数城市的共性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年轻环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形成的决定性因素</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郊区制造业发达能够创造大量就业岗位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为年轻劳动力提供了丰富的就业机会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吸引他们在此聚集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年轻环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形成的核心要素</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城市面积大只是空间基础条件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如果没有产业发展作为支撑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无法吸引人口集聚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也就难以形成</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年轻环</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郊区良好的生态环境虽对部分人群有居住吸引力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但对于年轻人而言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就业机会才是首要关注因素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生态好并非形成</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年轻环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的关键</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B</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依据三城市的纬度差异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结合气候与建筑能耗的特点进行判断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通常情况下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纬度越高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冬季越寒冷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采暖能耗也就越高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纬度越低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夏季气温相对较高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制冷能耗可能越高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奥斯陆</w:t>
      </w:r>
      <w:r>
        <w:rPr>
          <w:rFonts w:ascii="Times New Roman" w:eastAsia="Times New Roman" w:hAnsi="Times New Roman" w:cs="Times New Roman"/>
          <w:color w:val="000000"/>
          <w:sz w:val="21"/>
          <w:shd w:val="clear" w:color="auto" w:fill="auto"/>
          <w:vertAlign w:val="baseline"/>
        </w:rPr>
        <w:t>（59°57′N）</w:t>
      </w:r>
      <w:r>
        <w:rPr>
          <w:rFonts w:ascii="宋体" w:eastAsia="宋体" w:hAnsi="宋体" w:cs="宋体"/>
          <w:color w:val="000000"/>
          <w:sz w:val="21"/>
          <w:shd w:val="clear" w:color="auto" w:fill="auto"/>
          <w:vertAlign w:val="baseline"/>
        </w:rPr>
        <w:t>纬度最高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冬季寒冷且漫长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采暖需求极大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所以采暖能耗应是最高的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法兰克福</w:t>
      </w:r>
      <w:r>
        <w:rPr>
          <w:rFonts w:ascii="Times New Roman" w:eastAsia="Times New Roman" w:hAnsi="Times New Roman" w:cs="Times New Roman"/>
          <w:color w:val="000000"/>
          <w:sz w:val="21"/>
          <w:shd w:val="clear" w:color="auto" w:fill="auto"/>
          <w:vertAlign w:val="baseline"/>
        </w:rPr>
        <w:t>（50°07′N）</w:t>
      </w:r>
      <w:r>
        <w:rPr>
          <w:rFonts w:ascii="宋体" w:eastAsia="宋体" w:hAnsi="宋体" w:cs="宋体"/>
          <w:color w:val="000000"/>
          <w:sz w:val="21"/>
          <w:shd w:val="clear" w:color="auto" w:fill="auto"/>
          <w:vertAlign w:val="baseline"/>
        </w:rPr>
        <w:t>纬度次之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气候相对温和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各项能耗处于相对适中的水平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罗马</w:t>
      </w:r>
      <w:r>
        <w:rPr>
          <w:rFonts w:ascii="Times New Roman" w:eastAsia="Times New Roman" w:hAnsi="Times New Roman" w:cs="Times New Roman"/>
          <w:color w:val="000000"/>
          <w:sz w:val="21"/>
          <w:shd w:val="clear" w:color="auto" w:fill="auto"/>
          <w:vertAlign w:val="baseline"/>
        </w:rPr>
        <w:t>（41°54′N）</w:t>
      </w:r>
      <w:r>
        <w:rPr>
          <w:rFonts w:ascii="宋体" w:eastAsia="宋体" w:hAnsi="宋体" w:cs="宋体"/>
          <w:color w:val="000000"/>
          <w:sz w:val="21"/>
          <w:shd w:val="clear" w:color="auto" w:fill="auto"/>
          <w:vertAlign w:val="baseline"/>
        </w:rPr>
        <w:t>纬度最低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夏季炎热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制冷能耗相对较高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而采暖能耗较低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观察图表可知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丙的采暖能耗最高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与奥斯陆的能耗特点相符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甲的制冷能耗相对较高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对应罗马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乙各项能耗适中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对应法兰克福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甲是罗马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乙是法兰克福</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，A、B、D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窗墙比会对建筑采光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制冷和采暖能耗产生影响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已知甲是罗马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纬度低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丙是奥斯陆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纬度高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由于罗马纬度低于奥斯陆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夏季时罗马的白昼时间更短</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罗马纬度低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在夏季时距离太阳直射点更近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正午太阳高度大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如果窗户面积大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即窗墙比大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会让更多的太阳辐射进入室内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从而增加制冷能耗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为了降低制冷能耗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罗马的最优窗墙比应较小</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采暖能耗主要与冬季气温相关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和降水关系不大</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罗马纬度低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年平均气温高于奥斯陆</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A</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本题聚焦降雨过程特征分析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2 </w:t>
      </w:r>
      <w:r>
        <w:rPr>
          <w:rFonts w:ascii="宋体" w:eastAsia="宋体" w:hAnsi="宋体" w:cs="宋体"/>
          <w:color w:val="000000"/>
          <w:sz w:val="21"/>
          <w:shd w:val="clear" w:color="auto" w:fill="auto"/>
          <w:vertAlign w:val="baseline"/>
        </w:rPr>
        <w:t>次降雨中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最大小时雨量为</w:t>
      </w:r>
      <w:r>
        <w:rPr>
          <w:rFonts w:ascii="Times New Roman" w:eastAsia="Times New Roman" w:hAnsi="Times New Roman" w:cs="Times New Roman"/>
          <w:color w:val="000000"/>
          <w:sz w:val="21"/>
          <w:shd w:val="clear" w:color="auto" w:fill="auto"/>
          <w:vertAlign w:val="baseline"/>
        </w:rPr>
        <w:t xml:space="preserve"> 55mm，</w:t>
      </w:r>
      <w:r>
        <w:rPr>
          <w:rFonts w:ascii="宋体" w:eastAsia="宋体" w:hAnsi="宋体" w:cs="宋体"/>
          <w:color w:val="000000"/>
          <w:sz w:val="21"/>
          <w:shd w:val="clear" w:color="auto" w:fill="auto"/>
          <w:vertAlign w:val="baseline"/>
        </w:rPr>
        <w:t>出现在第</w:t>
      </w:r>
      <w:r>
        <w:rPr>
          <w:rFonts w:ascii="Times New Roman" w:eastAsia="Times New Roman" w:hAnsi="Times New Roman" w:cs="Times New Roman"/>
          <w:color w:val="000000"/>
          <w:sz w:val="21"/>
          <w:shd w:val="clear" w:color="auto" w:fill="auto"/>
          <w:vertAlign w:val="baseline"/>
        </w:rPr>
        <w:t xml:space="preserve"> 4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小于第</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次降雨的最大小时雨量</w:t>
      </w:r>
      <w:r>
        <w:rPr>
          <w:rFonts w:ascii="Times New Roman" w:eastAsia="Times New Roman" w:hAnsi="Times New Roman" w:cs="Times New Roman"/>
          <w:color w:val="000000"/>
          <w:sz w:val="21"/>
          <w:shd w:val="clear" w:color="auto" w:fill="auto"/>
          <w:vertAlign w:val="baseline"/>
        </w:rPr>
        <w:t xml:space="preserve"> 60mm（</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次降雨的峰值在第</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小时就出现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明显早于第</w:t>
      </w:r>
      <w:r>
        <w:rPr>
          <w:rFonts w:ascii="Times New Roman" w:eastAsia="Times New Roman" w:hAnsi="Times New Roman" w:cs="Times New Roman"/>
          <w:color w:val="000000"/>
          <w:sz w:val="21"/>
          <w:shd w:val="clear" w:color="auto" w:fill="auto"/>
          <w:vertAlign w:val="baseline"/>
        </w:rPr>
        <w:t xml:space="preserve"> 2 </w:t>
      </w:r>
      <w:r>
        <w:rPr>
          <w:rFonts w:ascii="宋体" w:eastAsia="宋体" w:hAnsi="宋体" w:cs="宋体"/>
          <w:color w:val="000000"/>
          <w:sz w:val="21"/>
          <w:shd w:val="clear" w:color="auto" w:fill="auto"/>
          <w:vertAlign w:val="baseline"/>
        </w:rPr>
        <w:t>次降雨于第</w:t>
      </w:r>
      <w:r>
        <w:rPr>
          <w:rFonts w:ascii="Times New Roman" w:eastAsia="Times New Roman" w:hAnsi="Times New Roman" w:cs="Times New Roman"/>
          <w:color w:val="000000"/>
          <w:sz w:val="21"/>
          <w:shd w:val="clear" w:color="auto" w:fill="auto"/>
          <w:vertAlign w:val="baseline"/>
        </w:rPr>
        <w:t xml:space="preserve"> 4 </w:t>
      </w:r>
      <w:r>
        <w:rPr>
          <w:rFonts w:ascii="宋体" w:eastAsia="宋体" w:hAnsi="宋体" w:cs="宋体"/>
          <w:color w:val="000000"/>
          <w:sz w:val="21"/>
          <w:shd w:val="clear" w:color="auto" w:fill="auto"/>
          <w:vertAlign w:val="baseline"/>
        </w:rPr>
        <w:t>小时才达到的峰值</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次降雨强度是逐小时递减的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而第</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次降雨强度则是逐小时递增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直至第</w:t>
      </w:r>
      <w:r>
        <w:rPr>
          <w:rFonts w:ascii="Times New Roman" w:eastAsia="Times New Roman" w:hAnsi="Times New Roman" w:cs="Times New Roman"/>
          <w:color w:val="000000"/>
          <w:sz w:val="21"/>
          <w:shd w:val="clear" w:color="auto" w:fill="auto"/>
          <w:vertAlign w:val="baseline"/>
        </w:rPr>
        <w:t xml:space="preserve"> 5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二者变化趋势截然不同</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次降雨峰值在第</w:t>
      </w:r>
      <w:r>
        <w:rPr>
          <w:rFonts w:ascii="Times New Roman" w:eastAsia="Times New Roman" w:hAnsi="Times New Roman" w:cs="Times New Roman"/>
          <w:color w:val="000000"/>
          <w:sz w:val="21"/>
          <w:shd w:val="clear" w:color="auto" w:fill="auto"/>
          <w:vertAlign w:val="baseline"/>
        </w:rPr>
        <w:t xml:space="preserve"> 1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次降雨峰值在第</w:t>
      </w:r>
      <w:r>
        <w:rPr>
          <w:rFonts w:ascii="Times New Roman" w:eastAsia="Times New Roman" w:hAnsi="Times New Roman" w:cs="Times New Roman"/>
          <w:color w:val="000000"/>
          <w:sz w:val="21"/>
          <w:shd w:val="clear" w:color="auto" w:fill="auto"/>
          <w:vertAlign w:val="baseline"/>
        </w:rPr>
        <w:t xml:space="preserve"> 5 </w:t>
      </w:r>
      <w:r>
        <w:rPr>
          <w:rFonts w:ascii="宋体" w:eastAsia="宋体" w:hAnsi="宋体" w:cs="宋体"/>
          <w:color w:val="000000"/>
          <w:sz w:val="21"/>
          <w:shd w:val="clear" w:color="auto" w:fill="auto"/>
          <w:vertAlign w:val="baseline"/>
        </w:rPr>
        <w:t>小时</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本题探究洪峰流量与降雨过程的内在联系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次降雨前期雨量较小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此时土壤干燥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雨水下渗量较大</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洪峰流量主要受地表径流影响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地下径流对其影响相对较小</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在短时降雨过程中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蒸发量对整体的影响十分微弱</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次降雨后期雨量不仅大而且集中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当土壤达到饱和状态后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雨水难以继续下渗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大量转化为地表径流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从而更易形成洪峰</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本题考查土壤含水量对洪峰形成的作用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当土壤含水量偏高时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降雨前期土壤下渗能力减弱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在相同降雨过程下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会有更多雨水直接转化为地表径流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这就意味着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形成相同规模的洪峰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所需的总雨量会减少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第</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次降雨原本需要</w:t>
      </w:r>
      <w:r>
        <w:rPr>
          <w:rFonts w:ascii="Times New Roman" w:eastAsia="Times New Roman" w:hAnsi="Times New Roman" w:cs="Times New Roman"/>
          <w:color w:val="000000"/>
          <w:sz w:val="21"/>
          <w:shd w:val="clear" w:color="auto" w:fill="auto"/>
          <w:vertAlign w:val="baseline"/>
        </w:rPr>
        <w:t xml:space="preserve"> 143mm </w:t>
      </w:r>
      <w:r>
        <w:rPr>
          <w:rFonts w:ascii="宋体" w:eastAsia="宋体" w:hAnsi="宋体" w:cs="宋体"/>
          <w:color w:val="000000"/>
          <w:sz w:val="21"/>
          <w:shd w:val="clear" w:color="auto" w:fill="auto"/>
          <w:vertAlign w:val="baseline"/>
        </w:rPr>
        <w:t>的雨量才能形成洪峰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在土壤含水量偏高的情况下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所需雨量可能更低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选项中</w:t>
      </w:r>
      <w:r>
        <w:rPr>
          <w:rFonts w:ascii="Times New Roman" w:eastAsia="Times New Roman" w:hAnsi="Times New Roman" w:cs="Times New Roman"/>
          <w:color w:val="000000"/>
          <w:sz w:val="21"/>
          <w:shd w:val="clear" w:color="auto" w:fill="auto"/>
          <w:vertAlign w:val="baseline"/>
        </w:rPr>
        <w:t xml:space="preserve"> 125mm </w:t>
      </w:r>
      <w:r>
        <w:rPr>
          <w:rFonts w:ascii="宋体" w:eastAsia="宋体" w:hAnsi="宋体" w:cs="宋体"/>
          <w:color w:val="000000"/>
          <w:sz w:val="21"/>
          <w:shd w:val="clear" w:color="auto" w:fill="auto"/>
          <w:vertAlign w:val="baseline"/>
        </w:rPr>
        <w:t>符合这一情况</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，B、C、D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B</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海侵与海退是海陆环境变化的重要体现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海侵时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海水向陆地推进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会形成浅海沉积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海退时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海水退去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陆地环境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如河流作用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形成河流沉积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这两种沉积类型交替出现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直观地展现了海洋与陆地环境的周期性转换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是判断海侵海退现象的典型证据</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浅海沉积之下的基岩作为盆地基底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仅能反映沉积作用发生前的地质基础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无法体现海陆环境的交替演变过程</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黄土状堆积属于陆相风成沉积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只能证明后期存在陆地环境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不能说明海陆环境之间的交替变化</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沉积厚度受沉积速率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时间等多种因素影响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不能直接作为海陆环境交替的证据</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褶皱作用对地层的影响具有明显的时间顺序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其会使形成之前的地层发生变形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而后期未受影响的地层则保持水平或连续状态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由此可推断褶皱作用发生在后期地层沉积之前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通过观察剖面图发现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中新世地层呈水平分布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而其下部的老地层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如渐新世及更早时期地层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存在褶皱变形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这表明褶皱作用发生在中新世地层沉积之前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即早于中新世</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判断始新世晚期气候干旱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需要依据沉积岩类型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如石膏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盐岩等蒸发岩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或古生物化石等相关证据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但题干中并未给出此类信息</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若古海洋退出时间晚于渐新世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那么渐新世之后应该存在海洋沉积地层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古海洋从盆地退出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的已知背景相矛盾</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要证明渐新世流水侵蚀强烈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需有侵蚀面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砾岩等相关证据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但题干中未明确提及</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帕米尔高原的抬升会改变区域地形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进而影响西风气流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这一影响在渐新世开始有所体现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渐新世出现黄土堆积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而黄土堆积是陆相环境的典型特征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说明此时该地区已转变为陆地环境</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西风气流受到高原阻挡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水汽输送受阻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导致该地区气候逐渐干旱化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由此推测渐新世最有可能是帕米尔高原抬升至开始显著影响西风气流的时期</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始新世时期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浅海沉积地层与河流沉积地层交替出现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说明当时气候湿润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地形对西风气流没有阻挡作用</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中新世时期河湖相沉积交替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表明此时为陆地环境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但无法确定这是高原开始显著影响西风气流的时间</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由于图中没有上新世地层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无法依据其进</w:t>
      </w:r>
      <w:bookmarkStart w:id="0" w:name="_GoBack"/>
      <w:bookmarkEnd w:id="0"/>
      <w:r>
        <w:rPr>
          <w:rFonts w:ascii="宋体" w:eastAsia="宋体" w:hAnsi="宋体" w:cs="宋体"/>
          <w:color w:val="000000"/>
          <w:sz w:val="21"/>
          <w:shd w:val="clear" w:color="auto" w:fill="auto"/>
          <w:vertAlign w:val="baseline"/>
        </w:rPr>
        <w:t>行相关判断</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center"/>
        <w:textAlignment w:val="center"/>
        <w:rPr>
          <w:rFonts w:ascii="黑体" w:eastAsia="黑体" w:hAnsi="黑体" w:cs="黑体"/>
          <w:b/>
          <w:i w:val="0"/>
          <w:color w:val="000000"/>
          <w:sz w:val="30"/>
        </w:rPr>
      </w:pP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新中国成立后有国企布局奠定基础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靠近南京等城市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工业基础好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协作条件优</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世纪八九十年代政策推动集聚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且吸引外资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德国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荷兰等国企业入驻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位于长江沿岸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利于原料输入和产品输出</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大型化工企业资金雄厚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技术先进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搬迁能力强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生产规模大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在行业内有影响力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迁入新园区易形成集聚效应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利于园区发展</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调整方向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从化工产业用地转为生态宜居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滨江综合服务型用地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如居住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生态绿化等用地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改善区域生态环境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减少污染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发展多元产业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提升土地价值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促进经济发展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提升居民生活质量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增加就业等</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新中国成立后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部分国有化工厂在该片区布局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国企布局奠定了化工产业发展基础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依据</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世纪八九十年代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化工企业开始聚集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集群迅速扩大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德国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荷兰等国的企业入驻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该片区成为全国知名的化工基地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说明政策推动产业集聚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且吸引外资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同时当地靠近城市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工业协作条件好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结合图中位置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燕子矶片区位于长江沿岸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利于化工产业原料和产品的运输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这也是形成产业集群的社会经济条件之一</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从材料可知大型化工企业是在行业内发展成熟的企业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新中国成立后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部分国有化工厂在该片区布局</w:t>
      </w:r>
      <w:r>
        <w:rPr>
          <w:rFonts w:ascii="Times New Roman" w:eastAsia="Times New Roman" w:hAnsi="Times New Roman" w:cs="Times New Roman"/>
          <w:color w:val="000000"/>
          <w:sz w:val="21"/>
          <w:shd w:val="clear" w:color="auto" w:fill="auto"/>
          <w:vertAlign w:val="baseline"/>
        </w:rPr>
        <w:t>。20</w:t>
      </w:r>
      <w:r>
        <w:rPr>
          <w:rFonts w:ascii="宋体" w:eastAsia="宋体" w:hAnsi="宋体" w:cs="宋体"/>
          <w:color w:val="000000"/>
          <w:sz w:val="21"/>
          <w:shd w:val="clear" w:color="auto" w:fill="auto"/>
          <w:vertAlign w:val="baseline"/>
        </w:rPr>
        <w:t>世纪八九十年代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化工企业开始聚集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集群迅速扩大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德国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荷兰等国的企业入驻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该片区成为全国知名的化工基地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说明其资金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技术等实力强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有能力进行搬迁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大型化工企业规模大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迁入南京化工园区后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凭借自身规模和产业关联度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能带动园区产业集聚发展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形成规模效应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这是其自身优势体现</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“2012</w:t>
      </w:r>
      <w:r>
        <w:rPr>
          <w:rFonts w:ascii="宋体" w:eastAsia="宋体" w:hAnsi="宋体" w:cs="宋体"/>
          <w:color w:val="000000"/>
          <w:sz w:val="21"/>
          <w:shd w:val="clear" w:color="auto" w:fill="auto"/>
          <w:vertAlign w:val="baseline"/>
        </w:rPr>
        <w:t>年以来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该片区调整土地用途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成功转型为生态宜居滨江综合服务型新城区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可知调整方向是从化工产业用地转为生态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居住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服务等用地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效益方面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之前化工产业污染重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转型后改善生态环境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经济上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发展多元产业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居住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商业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提升土地经济效益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社会上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完善基础设施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给居民提供更好生活环境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也创造更多就业岗位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提升社会效益</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就地取材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原料成本低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减轻粉煤灰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煤矸石对土壤和地下水的污染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便于干渠清淤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保障干渠的水利功能</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双层心土层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通过黏粒减少水分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养分的下渗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减少深层水分向上蒸发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保水保肥能力增强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利于农作物生长</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提前复垦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保障粮食供应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改善沉陷地生态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保持水土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提高粮食单产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培育土壤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提高土壤肥力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增加粮食产量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为其他地区的生态复垦与粮食增产提供示范</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结合材料及所学知识可知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该沉陷地地处黄河下游冲积平原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获取淤积泥沙较便利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可以实现就地取材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降低充填原料成本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淤积泥沙为天然沉积物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而粉煤灰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煤矸石属于煤炭开采过程中产生的废弃物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利用淤积泥沙充填可以避免二次土壤污染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生态效益较好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黄河具有含沙量大的特点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黄河下游泥沙淤积严重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给沿线地区带来严重的水患等灾害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利用淤积泥沙充填对河流来说等同于疏浚河道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便于干渠清淤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保障干渠的输水等水利功能</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结合图示信息可知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与图</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相比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充填的泥沙多一层心土层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心土层黏粒比例较高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具有较好的保水保肥功能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可以更大程度减少水分的下渗和养分的流失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利于保持土壤水分和肥力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另外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心土层较多有助于抑制深层土层中的水分向上蒸发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避免由此引发的土壤水分流失和表土返盐等现象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双层心土层的模式保水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保肥能力较强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有利于农作物的生长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提高粮食产量</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结合材料及所学知识可知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边开采边复垦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的新模式将复垦时间提前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减少土地闲置时间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保障粮食持续产出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及时充填可控制沉陷范围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避免大面积耕地长期荒废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减少因采矿导致的耕地面积波动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为国家粮食总产量提供长期支撑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也为其他地区的生态复垦和粮食增产提供示范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具有较大的推广价值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通过新模式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可以及时改善沉陷地的生态状况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发挥充填层的保持水土功能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提升土壤肥力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从而提高粮食单产和产量</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19．</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降低面状水流流速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改善土壤水分条件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减轻面状水流对坡面土壤的冲刷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保持水土</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裸地土壤渗透率低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下渗量小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土壤水分条件差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表层土壤紧实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土壤结构不良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不利于根系生长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上坡向的灌丛带拦截水分与养分</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灌丛带上部拦截面状水流及养分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有利于草本先锋植被萌发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草本先锋植被的生长继续改良土壤条件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逐渐向灌木演替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灌丛带下部因水分和养分条件不足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灌丛退化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幼苗难以更新</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灌丛带幅变宽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裸地带幅变窄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灌丛高度增高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郁闭度增大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灌丛种类增多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生物多样性增加</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结合材料及所学知识可知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灌丛植被发育需要一定的水分和土壤条件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非常平缓的坡面坡度非常小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在坡面上形成的地表径流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面状径流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流速非常缓慢</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在此影响下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地表水有充足的时间进行下渗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形成土壤水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改善土壤水分条件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另外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缓慢的地表水侵蚀和搬运能力较差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一定程度上能够保持水土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减少土壤养分流失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综上所述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非常平缓的坡面有利于灌丛带发育</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结合材料可知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裸地土壤渗透率低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表明水分渗透能力较差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土壤质地较坚硬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矿物组成较致密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从水分条件来考虑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当地气候较干旱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降水较少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加上裸地土壤的渗透率低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表层水下渗困难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导致土壤水分条件较差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紧实的表层土壤不利于植物扎根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间接影响植物的生长发育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读图可知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裸地的上坡向为灌丛带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灌丛植被具有一定的涵养水源和保持水土的能力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一定程度上拦截水分和养分</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结合材料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灌丛带由草本先锋区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灌木核心区和枯木退化区三部分组成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灌丛带的上部通过拦截面状水流和养分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形成有利于先锋植物萌发的水分和土壤条件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先锋植物萌发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生长过程中</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不断改造其生长地的土壤条件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形成有助于灌木植被演替的环境特征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后期灌木植物在此发育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灌丛带上界向上移动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灌丛带下部受上部植物拦截水分和养分影响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水分和养分条件变差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不利于植物生长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导致植物出现退化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幼苗难以更新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导致灌丛带下界也向上移动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于是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灌丛带缓慢向上移动</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结合材料及所学知识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若该地区降水增加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将导致土壤水分条件变好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有助于灌丛带植被生长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灌丛带的宽度将变大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裸地的宽度将变小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植物生长变得旺盛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将导致灌丛植物的高度增加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植被覆盖率提高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郁闭度增大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当地适合植物生长的环境改善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将有利于灌丛植物的种类增加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生物多样性提高</w:t>
      </w:r>
      <w:r>
        <w:rPr>
          <w:rFonts w:ascii="Times New Roman" w:eastAsia="Times New Roman" w:hAnsi="Times New Roman" w:cs="Times New Roman"/>
          <w:color w:val="000000"/>
          <w:sz w:val="21"/>
          <w:shd w:val="clear" w:color="auto" w:fill="auto"/>
          <w:vertAlign w:val="baseline"/>
        </w:rPr>
        <w:t>。</w:t>
      </w:r>
    </w:p>
    <w:p>
      <w:pPr>
        <w:pStyle w:val="Normal015ba995-e502-44d9-9f3f-276345a187e8"/>
        <w:spacing w:line="320" w:lineRule="auto"/>
        <w:jc w:val="left"/>
        <w:textAlignment w:val="center"/>
        <w:rPr>
          <w:sz w:val="21"/>
        </w:rPr>
      </w:pPr>
    </w:p>
    <w:sectPr>
      <w:headerReference w:type="even" r:id="rId11"/>
      <w:headerReference w:type="default" r:id="rId12"/>
      <w:footerReference w:type="even" r:id="rId13"/>
      <w:footerReference w:type="default" r:id="rId14"/>
      <w:headerReference w:type="first" r:id="rId15"/>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015ba995-e502-44d9-9f3f-276345a187e8">
    <w:name w:val="Normal_015ba995-e502-44d9-9f3f-276345a187e8"/>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4890f99d-36d5-41c7-a3dd-1164f5e877e3">
    <w:name w:val="subTitleStyle_4890f99d-36d5-41c7-a3dd-1164f5e877e3"/>
    <w:basedOn w:val="Normal015ba995-e502-44d9-9f3f-276345a187e8"/>
    <w:qFormat/>
    <w:rPr>
      <w:rFonts w:ascii="宋体" w:eastAsia="宋体" w:hAnsi="宋体" w:cs="宋体"/>
      <w:b/>
      <w:color w:val="000000"/>
      <w:sz w:val="32"/>
    </w:rPr>
  </w:style>
  <w:style w:type="table" w:styleId="TableGrid">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2025-06-25T10:01:56Z</dcterms:created>
  <dcterms:modified xsi:type="dcterms:W3CDTF">2025-06-25T10:01:56Z</dcterms:modified>
  <cp:category>试题</cp:category>
</cp:coreProperties>
</file>