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2025年普通高中学业水平选择性考试地理试题（黑吉辽蒙卷）</w:t>
      </w:r>
    </w:p>
    <w:p>
      <w:pPr>
        <w:pStyle w:val="Normal4df07cdf-f1b1-4e38-8571-7c5ccbd201ec"/>
      </w:pPr>
    </w:p>
    <w:p>
      <w:pPr>
        <w:pStyle w:val="paraStyle"/>
        <w:spacing w:before="200" w:beforeAutospacing="0" w:after="200" w:afterAutospacing="0"/>
      </w:pPr>
      <w:r>
        <w:t>一、单选题</w:t>
      </w:r>
    </w:p>
    <w:p>
      <w:pPr>
        <w:pStyle w:val="Normal4df07cdf-f1b1-4e38-8571-7c5ccbd201ec"/>
        <w:numPr>
          <w:ilvl w:val="0"/>
          <w:numId w:val="0"/>
        </w:numPr>
        <w:spacing w:line="320" w:lineRule="auto"/>
        <w:ind w:firstLine="560"/>
        <w:jc w:val="left"/>
        <w:textAlignment w:val="center"/>
      </w:pPr>
      <w:r>
        <w:rPr>
          <w:rFonts w:ascii="楷体" w:eastAsia="楷体" w:hAnsi="楷体" w:cs="楷体"/>
          <w:color w:val="000000"/>
          <w:sz w:val="21"/>
          <w:shd w:val="clear" w:color="auto" w:fill="auto"/>
          <w:vertAlign w:val="baseline"/>
        </w:rPr>
        <w:t>乡村绿色发展是实现乡村全面振兴的重要途径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具有阶段性特征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安吉县黄杜村位于浙江省北部</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1997</w:t>
      </w:r>
      <w:r>
        <w:rPr>
          <w:rFonts w:ascii="楷体" w:eastAsia="楷体" w:hAnsi="楷体" w:cs="楷体"/>
          <w:color w:val="000000"/>
          <w:sz w:val="21"/>
          <w:shd w:val="clear" w:color="auto" w:fill="auto"/>
          <w:vertAlign w:val="baseline"/>
        </w:rPr>
        <w:t>年开始种植白茶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走绿色发展之路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先后完成了开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园保绿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村庄环境治理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有机茶园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茶庄园等项目建设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成效显著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黄杜村从种茶到茶旅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茶文化休闲产业融合发展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茶衍生产业不断迭代升级</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2025</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该村采取措施全面推动生产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生活向更高层次绿色发展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黄杜村白茶衍生产业不断迭代升级的驱动力是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良好的区位交通</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多元的市场需求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优美的生态环境</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知名的绿色品牌</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推动黄杜村向更高层次绿色发展的有力措施是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推广清洁能源使用全覆盖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完善垃圾分类与收集系统</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扩大规模化茶园的种植面积</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大力吸引各类外来投资项目</w:t>
      </w:r>
    </w:p>
    <w:p>
      <w:pPr>
        <w:pStyle w:val="Normal4df07cdf-f1b1-4e38-8571-7c5ccbd201ec"/>
        <w:tabs>
          <w:tab w:val="left" w:pos="4156"/>
        </w:tabs>
        <w:spacing w:line="320" w:lineRule="auto"/>
        <w:ind w:left="300"/>
        <w:jc w:val="left"/>
        <w:textAlignment w:val="center"/>
        <w:rPr>
          <w:sz w:val="21"/>
        </w:rPr>
      </w:pPr>
    </w:p>
    <w:p>
      <w:pPr>
        <w:pStyle w:val="Normal4df07cdf-f1b1-4e38-8571-7c5ccbd201ec"/>
        <w:spacing w:line="320" w:lineRule="auto"/>
        <w:ind w:firstLine="560"/>
        <w:jc w:val="left"/>
        <w:textAlignment w:val="center"/>
      </w:pPr>
      <w:r>
        <w:rPr>
          <w:rFonts w:ascii="楷体" w:eastAsia="楷体" w:hAnsi="楷体" w:cs="楷体"/>
          <w:color w:val="000000"/>
          <w:sz w:val="21"/>
          <w:shd w:val="clear" w:color="auto" w:fill="auto"/>
          <w:vertAlign w:val="baseline"/>
        </w:rPr>
        <w:t>物流公司的区位选择对物流业发展至关重要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研究发现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在西班牙本土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物流公司距高速公路的平均距离从</w:t>
      </w:r>
      <w:r>
        <w:rPr>
          <w:rFonts w:ascii="Times New Roman" w:eastAsia="Times New Roman" w:hAnsi="Times New Roman" w:cs="Times New Roman"/>
          <w:color w:val="000000"/>
          <w:sz w:val="21"/>
          <w:shd w:val="clear" w:color="auto" w:fill="auto"/>
          <w:vertAlign w:val="baseline"/>
        </w:rPr>
        <w:t>1997</w:t>
      </w:r>
      <w:r>
        <w:rPr>
          <w:rFonts w:ascii="楷体" w:eastAsia="楷体" w:hAnsi="楷体" w:cs="楷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3</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千米变为</w:t>
      </w:r>
      <w:r>
        <w:rPr>
          <w:rFonts w:ascii="Times New Roman" w:eastAsia="Times New Roman" w:hAnsi="Times New Roman" w:cs="Times New Roman"/>
          <w:color w:val="000000"/>
          <w:sz w:val="21"/>
          <w:shd w:val="clear" w:color="auto" w:fill="auto"/>
          <w:vertAlign w:val="baseline"/>
        </w:rPr>
        <w:t>2014</w:t>
      </w:r>
      <w:r>
        <w:rPr>
          <w:rFonts w:ascii="楷体" w:eastAsia="楷体" w:hAnsi="楷体" w:cs="楷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千米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w:t>
      </w:r>
      <w:r>
        <w:rPr>
          <w:rFonts w:ascii="Times New Roman" w:eastAsia="Times New Roman" w:hAnsi="Times New Roman" w:cs="Times New Roman"/>
          <w:color w:val="000000"/>
          <w:sz w:val="21"/>
          <w:shd w:val="clear" w:color="auto" w:fill="auto"/>
          <w:vertAlign w:val="baseline"/>
        </w:rPr>
        <w:t>2014</w:t>
      </w:r>
      <w:r>
        <w:rPr>
          <w:rFonts w:ascii="楷体" w:eastAsia="楷体" w:hAnsi="楷体" w:cs="楷体"/>
          <w:color w:val="000000"/>
          <w:sz w:val="21"/>
          <w:shd w:val="clear" w:color="auto" w:fill="auto"/>
          <w:vertAlign w:val="baseline"/>
        </w:rPr>
        <w:t>年西班牙本土物流公司的空间分布状况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97pt;height:197.47pt">
            <v:imagedata r:id="rId4" o:title=""/>
          </v:shape>
        </w:pic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影响西班牙本土物流公司分布的主导因素是</w:t>
      </w:r>
      <w:r>
        <w:rPr>
          <w:rFonts w:ascii="Times New Roman" w:eastAsia="Times New Roman" w:hAnsi="Times New Roman" w:cs="Times New Roman"/>
          <w:color w:val="000000"/>
          <w:sz w:val="21"/>
          <w:shd w:val="clear" w:color="auto" w:fill="auto"/>
          <w:vertAlign w:val="baseline"/>
        </w:rPr>
        <w:t>（      ）</w:t>
      </w:r>
    </w:p>
    <w:p>
      <w:pPr>
        <w:pStyle w:val="Normal4df07cdf-f1b1-4e38-8571-7c5ccbd201ec"/>
        <w:tabs>
          <w:tab w:val="left" w:pos="4953"/>
        </w:tabs>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土地价格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交通条件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信息服务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土地价格</w:t>
      </w:r>
    </w:p>
    <w:p>
      <w:pPr>
        <w:pStyle w:val="Normal4df07cdf-f1b1-4e38-8571-7c5ccbd201ec"/>
        <w:tabs>
          <w:tab w:val="left" w:pos="4953"/>
        </w:tabs>
        <w:spacing w:line="320" w:lineRule="auto"/>
        <w:jc w:val="left"/>
        <w:textAlignment w:val="center"/>
      </w:pPr>
      <w:r>
        <w:rPr>
          <w:rFonts w:ascii="Times New Roman" w:eastAsia="Times New Roman" w:hAnsi="Times New Roman" w:cs="Times New Roman"/>
          <w:color w:val="000000"/>
          <w:sz w:val="21"/>
          <w:shd w:val="clear" w:color="auto" w:fill="auto"/>
          <w:vertAlign w:val="baseline"/>
        </w:rPr>
        <w:t>C</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信息服务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市场规模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市场规模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交通条件</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西班牙本土物流公司与高速公路平均距离的变化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使物流公司</w:t>
      </w:r>
      <w:r>
        <w:rPr>
          <w:rFonts w:ascii="Times New Roman" w:eastAsia="Times New Roman" w:hAnsi="Times New Roman" w:cs="Times New Roman"/>
          <w:color w:val="000000"/>
          <w:sz w:val="21"/>
          <w:shd w:val="clear" w:color="auto" w:fill="auto"/>
          <w:vertAlign w:val="baseline"/>
        </w:rPr>
        <w:t>（      ）</w:t>
      </w:r>
    </w:p>
    <w:p>
      <w:pPr>
        <w:pStyle w:val="Normal4df07cdf-f1b1-4e38-8571-7c5ccbd201ec"/>
        <w:tabs>
          <w:tab w:val="left" w:pos="2477"/>
          <w:tab w:val="left" w:pos="4953"/>
          <w:tab w:val="left" w:pos="7430"/>
        </w:tabs>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效率提高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客户增多</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规模扩大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服务改善</w:t>
      </w:r>
    </w:p>
    <w:p>
      <w:pPr>
        <w:pStyle w:val="Normal4df07cdf-f1b1-4e38-8571-7c5ccbd201ec"/>
        <w:spacing w:line="320" w:lineRule="auto"/>
        <w:jc w:val="left"/>
        <w:textAlignment w:val="center"/>
      </w:pPr>
      <w:r>
        <w:rPr>
          <w:rFonts w:ascii="楷体" w:eastAsia="楷体" w:hAnsi="楷体" w:cs="楷体"/>
          <w:color w:val="000000"/>
          <w:sz w:val="21"/>
          <w:shd w:val="clear" w:color="auto" w:fill="auto"/>
          <w:vertAlign w:val="baseline"/>
        </w:rPr>
        <w:t>牡蛎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贻贝等双壳贝类环境适应性强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主要滤食浮游生物和有机颗粒</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其生长过程中吸收并固定二氧化碳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福建省莆田市秀屿区是重要的双壳贝类养殖基地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近年未</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莆田市持续开展海上养殖转型升级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引导海上养殖向生态化方向发展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2022</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5</w:t>
      </w:r>
      <w:r>
        <w:rPr>
          <w:rFonts w:ascii="楷体" w:eastAsia="楷体" w:hAnsi="楷体" w:cs="楷体"/>
          <w:color w:val="000000"/>
          <w:sz w:val="21"/>
          <w:shd w:val="clear" w:color="auto" w:fill="auto"/>
          <w:vertAlign w:val="baseline"/>
        </w:rPr>
        <w:t>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福州市某企业出资</w:t>
      </w:r>
      <w:r>
        <w:rPr>
          <w:rFonts w:ascii="楷体" w:eastAsia="楷体" w:hAnsi="楷体" w:cs="楷体"/>
          <w:color w:val="000000"/>
          <w:sz w:val="21"/>
          <w:shd w:val="clear" w:color="auto" w:fill="auto"/>
          <w:vertAlign w:val="baseline"/>
        </w:rPr>
        <w:t>20</w:t>
      </w:r>
      <w:r>
        <w:rPr>
          <w:rFonts w:ascii="楷体" w:eastAsia="楷体" w:hAnsi="楷体" w:cs="楷体"/>
          <w:color w:val="000000"/>
          <w:sz w:val="21"/>
          <w:shd w:val="clear" w:color="auto" w:fill="auto"/>
          <w:vertAlign w:val="baseline"/>
        </w:rPr>
        <w:t>余万元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向秀屿区某水产养殖公司购买双壳贝类碳汇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用于抵消其生产经营活动中的碳排放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是全国首例双壳贝类碳汇交易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扩大秀屿区牡蛎养殖碳汇量的有效措施是</w:t>
      </w:r>
      <w:r>
        <w:rPr>
          <w:rFonts w:ascii="Times New Roman" w:eastAsia="Times New Roman" w:hAnsi="Times New Roman" w:cs="Times New Roman"/>
          <w:color w:val="000000"/>
          <w:sz w:val="21"/>
          <w:shd w:val="clear" w:color="auto" w:fill="auto"/>
          <w:vertAlign w:val="baseline"/>
        </w:rPr>
        <w:t>（      ）</w:t>
      </w:r>
    </w:p>
    <w:p>
      <w:pPr>
        <w:pStyle w:val="Normal4df07cdf-f1b1-4e38-8571-7c5ccbd201ec"/>
        <w:tabs>
          <w:tab w:val="left" w:pos="2477"/>
          <w:tab w:val="left" w:pos="4953"/>
          <w:tab w:val="left" w:pos="7430"/>
        </w:tabs>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增加养殖品种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降低企业的碳排放</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改善养殖水质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提升养殖单产水平</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秀屿区开展双壳贝类碳汇交易能够</w:t>
      </w:r>
      <w:r>
        <w:rPr>
          <w:rFonts w:ascii="Times New Roman" w:eastAsia="Times New Roman" w:hAnsi="Times New Roman" w:cs="Times New Roman"/>
          <w:color w:val="000000"/>
          <w:sz w:val="21"/>
          <w:shd w:val="clear" w:color="auto" w:fill="auto"/>
          <w:vertAlign w:val="baseline"/>
        </w:rPr>
        <w:t>（      ）</w:t>
      </w:r>
    </w:p>
    <w:p>
      <w:pPr>
        <w:pStyle w:val="Normal4df07cdf-f1b1-4e38-8571-7c5ccbd201ec"/>
        <w:tabs>
          <w:tab w:val="left" w:pos="2477"/>
          <w:tab w:val="left" w:pos="4953"/>
          <w:tab w:val="left" w:pos="7430"/>
        </w:tabs>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提高资源利用率</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鼓励生态养殖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改善海岸带景观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提升贝类价格</w:t>
      </w:r>
    </w:p>
    <w:p>
      <w:pPr>
        <w:pStyle w:val="Normal4df07cdf-f1b1-4e38-8571-7c5ccbd201e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科研团队对某区域地层进行调查后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将地层界线绘制在地形图上</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地层对应的地质年代由老到新为早石炭纪至晚新近纪</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中三叠纪至早新近纪之间的地层缺失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14875" cy="2266950"/>
            <wp:effectExtent l="0" t="0" r="9525" b="0"/>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022284ad623f4e9197181c2b4307fa7e"/>
                    <pic:cNvPicPr>
                      <a:picLocks noChangeAspect="1"/>
                    </pic:cNvPicPr>
                  </pic:nvPicPr>
                  <pic:blipFill>
                    <a:blip xmlns:r="http://schemas.openxmlformats.org/officeDocument/2006/relationships" r:embed="rId5"/>
                    <a:stretch>
                      <a:fillRect/>
                    </a:stretch>
                  </pic:blipFill>
                  <pic:spPr>
                    <a:xfrm>
                      <a:off x="0" y="0"/>
                      <a:ext cx="4714875" cy="2266950"/>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该区域内呈水平分布的地层对应的地质年代是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早石炭纪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晚石炭纪</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中二叠纪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晚二叠纪</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早三叠纪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中三叠纪</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早新近纪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晚新近纪</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早石炭纪至早三叠纪时期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该区域主要经历</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沉积过程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侵蚀过程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褶皱变形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断裂位移</w:t>
      </w:r>
    </w:p>
    <w:p>
      <w:pPr>
        <w:pStyle w:val="Normal4df07cdf-f1b1-4e38-8571-7c5ccbd201ec"/>
        <w:tabs>
          <w:tab w:val="left" w:pos="2078"/>
          <w:tab w:val="left" w:pos="4156"/>
          <w:tab w:val="left" w:pos="6234"/>
        </w:tabs>
        <w:spacing w:line="320" w:lineRule="auto"/>
        <w:ind w:left="300"/>
        <w:jc w:val="left"/>
        <w:textAlignment w:val="center"/>
        <w:rPr>
          <w:sz w:val="21"/>
        </w:rPr>
      </w:pPr>
    </w:p>
    <w:p>
      <w:pPr>
        <w:pStyle w:val="Normal4df07cdf-f1b1-4e38-8571-7c5ccbd201e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某河发源于祁连山脉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其河源区分布的厚层松散沉积物构成了地下水的主要含水层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长期监测发现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随着气候变暖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冻土退化导致地下水的存储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运移及出露发生变化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下图为监测初期和后期该河河源区河谷剖面示意图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76775" cy="1400175"/>
            <wp:effectExtent l="0" t="0" r="9525" b="9525"/>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b266646c3862430da5258ee68c5ee3e7"/>
                    <pic:cNvPicPr>
                      <a:picLocks noChangeAspect="1"/>
                    </pic:cNvPicPr>
                  </pic:nvPicPr>
                  <pic:blipFill>
                    <a:blip xmlns:r="http://schemas.openxmlformats.org/officeDocument/2006/relationships" r:embed="rId6"/>
                    <a:stretch>
                      <a:fillRect/>
                    </a:stretch>
                  </pic:blipFill>
                  <pic:spPr>
                    <a:xfrm>
                      <a:off x="0" y="0"/>
                      <a:ext cx="4676775" cy="1400175"/>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地下水出露点移动的原因及方向是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冻土活动层变厚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向坡上移动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多年冻结层密度变大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向坡下移动</w:t>
      </w:r>
    </w:p>
    <w:p>
      <w:pPr>
        <w:pStyle w:val="Normal4df07cdf-f1b1-4e38-8571-7c5ccbd201e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多年冻结层变薄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向坡下移动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多年冻结层面积变小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向坡上移动</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河流接受地下水补给的径流量</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增加且峰值提前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增加且峰值推迟</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减少且峰值提前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减少且峰值推迟</w:t>
      </w:r>
    </w:p>
    <w:p>
      <w:pPr>
        <w:pStyle w:val="Normal4df07cdf-f1b1-4e38-8571-7c5ccbd201ec"/>
        <w:tabs>
          <w:tab w:val="left" w:pos="2078"/>
          <w:tab w:val="left" w:pos="4156"/>
          <w:tab w:val="left" w:pos="6234"/>
        </w:tabs>
        <w:spacing w:line="320" w:lineRule="auto"/>
        <w:ind w:left="380"/>
        <w:jc w:val="left"/>
        <w:textAlignment w:val="center"/>
        <w:rPr>
          <w:sz w:val="21"/>
        </w:rPr>
      </w:pPr>
    </w:p>
    <w:p>
      <w:pPr>
        <w:pStyle w:val="Normal4df07cdf-f1b1-4e38-8571-7c5ccbd201e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西高止山沿印度半岛西海岸分布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呈西北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东南走向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位于该山地的甲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乙两区土壤水分特征受气温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降水和坡向影响显著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下图示意从上一年</w:t>
      </w:r>
      <w:r>
        <w:rPr>
          <w:rFonts w:ascii="Times New Roman" w:eastAsia="Times New Roman" w:hAnsi="Times New Roman" w:cs="Times New Roman"/>
          <w:color w:val="000000"/>
          <w:sz w:val="21"/>
          <w:shd w:val="clear" w:color="auto" w:fill="auto"/>
          <w:vertAlign w:val="baseline"/>
        </w:rPr>
        <w:t>12</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21</w:t>
      </w:r>
      <w:r>
        <w:rPr>
          <w:rFonts w:ascii="楷体" w:eastAsia="楷体" w:hAnsi="楷体" w:cs="楷体"/>
          <w:color w:val="000000"/>
          <w:sz w:val="21"/>
          <w:shd w:val="clear" w:color="auto" w:fill="auto"/>
          <w:vertAlign w:val="baseline"/>
        </w:rPr>
        <w:t>日到当年</w:t>
      </w:r>
      <w:r>
        <w:rPr>
          <w:rFonts w:ascii="Times New Roman" w:eastAsia="Times New Roman" w:hAnsi="Times New Roman" w:cs="Times New Roman"/>
          <w:color w:val="000000"/>
          <w:sz w:val="21"/>
          <w:shd w:val="clear" w:color="auto" w:fill="auto"/>
          <w:vertAlign w:val="baseline"/>
        </w:rPr>
        <w:t>12</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21</w:t>
      </w:r>
      <w:r>
        <w:rPr>
          <w:rFonts w:ascii="楷体" w:eastAsia="楷体" w:hAnsi="楷体" w:cs="楷体"/>
          <w:color w:val="000000"/>
          <w:sz w:val="21"/>
          <w:shd w:val="clear" w:color="auto" w:fill="auto"/>
          <w:vertAlign w:val="baseline"/>
        </w:rPr>
        <w:t>日甲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乙两区不同日期正午太阳高度以及雨季</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灰色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多年平均时长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9975" cy="1971675"/>
            <wp:effectExtent l="0" t="0" r="9525" b="9525"/>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bc2be165-9a48-49b0-8ed5-14a2c7a48628"/>
                    <pic:cNvPicPr>
                      <a:picLocks noChangeAspect="1"/>
                    </pic:cNvPicPr>
                  </pic:nvPicPr>
                  <pic:blipFill>
                    <a:blip xmlns:r="http://schemas.openxmlformats.org/officeDocument/2006/relationships" r:embed="rId7"/>
                    <a:stretch>
                      <a:fillRect/>
                    </a:stretch>
                  </pic:blipFill>
                  <pic:spPr>
                    <a:xfrm>
                      <a:off x="0" y="0"/>
                      <a:ext cx="3609975" cy="1971675"/>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月和</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月的甲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乙两区多年平均土壤含水率中最小值出现在</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A．5</w:t>
      </w:r>
      <w:r>
        <w:rPr>
          <w:rFonts w:ascii="宋体" w:eastAsia="宋体" w:hAnsi="宋体" w:cs="宋体"/>
          <w:color w:val="000000"/>
          <w:sz w:val="21"/>
          <w:shd w:val="clear" w:color="auto" w:fill="auto"/>
          <w:vertAlign w:val="baseline"/>
        </w:rPr>
        <w:t>月甲区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B．10</w:t>
      </w:r>
      <w:r>
        <w:rPr>
          <w:rFonts w:ascii="宋体" w:eastAsia="宋体" w:hAnsi="宋体" w:cs="宋体"/>
          <w:color w:val="000000"/>
          <w:sz w:val="21"/>
          <w:shd w:val="clear" w:color="auto" w:fill="auto"/>
          <w:vertAlign w:val="baseline"/>
        </w:rPr>
        <w:t>月甲区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C．5</w:t>
      </w:r>
      <w:r>
        <w:rPr>
          <w:rFonts w:ascii="宋体" w:eastAsia="宋体" w:hAnsi="宋体" w:cs="宋体"/>
          <w:color w:val="000000"/>
          <w:sz w:val="21"/>
          <w:shd w:val="clear" w:color="auto" w:fill="auto"/>
          <w:vertAlign w:val="baseline"/>
        </w:rPr>
        <w:t>月乙区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D．10</w:t>
      </w:r>
      <w:r>
        <w:rPr>
          <w:rFonts w:ascii="宋体" w:eastAsia="宋体" w:hAnsi="宋体" w:cs="宋体"/>
          <w:color w:val="000000"/>
          <w:sz w:val="21"/>
          <w:shd w:val="clear" w:color="auto" w:fill="auto"/>
          <w:vertAlign w:val="baseline"/>
        </w:rPr>
        <w:t>月乙区</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乙两区南北坡太阳辐射存在差异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由此导致旱季土壤含水率</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南坡高于北坡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且甲区南北坡之间差异更小</w:t>
      </w:r>
    </w:p>
    <w:p>
      <w:pPr>
        <w:pStyle w:val="Normal4df07cdf-f1b1-4e38-8571-7c5ccbd201ec"/>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南坡高于北坡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且乙区南北坡之间差异更小</w:t>
      </w:r>
    </w:p>
    <w:p>
      <w:pPr>
        <w:pStyle w:val="Normal4df07cdf-f1b1-4e38-8571-7c5ccbd201ec"/>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北坡高于南坡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且甲区南北坡之间差异更大</w:t>
      </w:r>
    </w:p>
    <w:p>
      <w:pPr>
        <w:pStyle w:val="Normal4df07cdf-f1b1-4e38-8571-7c5ccbd201ec"/>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北坡高于南坡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且乙区南北坡之间差异更大</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雨季甲区山脉西坡土壤表层物质较东坡更易发生的变化是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粗粒比例降低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盐分聚集</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风化碎屑增加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养分流失</w:t>
      </w:r>
    </w:p>
    <w:p>
      <w:pPr>
        <w:pStyle w:val="Normal4df07cdf-f1b1-4e38-8571-7c5ccbd201ec"/>
        <w:tabs>
          <w:tab w:val="left" w:pos="2078"/>
          <w:tab w:val="left" w:pos="4156"/>
          <w:tab w:val="left" w:pos="6234"/>
        </w:tabs>
        <w:spacing w:line="320" w:lineRule="auto"/>
        <w:ind w:left="380"/>
        <w:jc w:val="left"/>
        <w:textAlignment w:val="center"/>
        <w:rPr>
          <w:sz w:val="21"/>
        </w:rPr>
      </w:pPr>
    </w:p>
    <w:p>
      <w:pPr>
        <w:pStyle w:val="Normal4df07cdf-f1b1-4e38-8571-7c5ccbd201e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青藏高原某断陷谷地势西高东低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海拔</w:t>
      </w:r>
      <w:r>
        <w:rPr>
          <w:rFonts w:ascii="Times New Roman" w:eastAsia="Times New Roman" w:hAnsi="Times New Roman" w:cs="Times New Roman"/>
          <w:color w:val="000000"/>
          <w:sz w:val="21"/>
          <w:shd w:val="clear" w:color="auto" w:fill="auto"/>
          <w:vertAlign w:val="baseline"/>
        </w:rPr>
        <w:t>3470</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3650</w:t>
      </w:r>
      <w:r>
        <w:rPr>
          <w:rFonts w:ascii="楷体" w:eastAsia="楷体" w:hAnsi="楷体" w:cs="楷体"/>
          <w:color w:val="000000"/>
          <w:sz w:val="21"/>
          <w:shd w:val="clear" w:color="auto" w:fill="auto"/>
          <w:vertAlign w:val="baseline"/>
        </w:rPr>
        <w:t>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距今</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万年前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断陷谷中的</w:t>
      </w:r>
      <w:r>
        <w:rPr>
          <w:rFonts w:ascii="Times New Roman" w:eastAsia="Times New Roman" w:hAnsi="Times New Roman" w:cs="Times New Roman"/>
          <w:color w:val="000000"/>
          <w:sz w:val="21"/>
          <w:shd w:val="clear" w:color="auto" w:fill="auto"/>
          <w:vertAlign w:val="baseline"/>
        </w:rPr>
        <w:t>P</w:t>
      </w:r>
      <w:r>
        <w:rPr>
          <w:rFonts w:ascii="楷体" w:eastAsia="楷体" w:hAnsi="楷体" w:cs="楷体"/>
          <w:color w:val="000000"/>
          <w:sz w:val="21"/>
          <w:shd w:val="clear" w:color="auto" w:fill="auto"/>
          <w:vertAlign w:val="baseline"/>
        </w:rPr>
        <w:t>河沉积了深厚的松散物质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分水岭以北</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楷体" w:eastAsia="楷体" w:hAnsi="楷体" w:cs="楷体"/>
          <w:color w:val="000000"/>
          <w:sz w:val="21"/>
          <w:shd w:val="clear" w:color="auto" w:fill="auto"/>
          <w:vertAlign w:val="baseline"/>
        </w:rPr>
        <w:t>河源区发育了深切峡谷</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河床海拔</w:t>
      </w:r>
      <w:r>
        <w:rPr>
          <w:rFonts w:ascii="Times New Roman" w:eastAsia="Times New Roman" w:hAnsi="Times New Roman" w:cs="Times New Roman"/>
          <w:color w:val="000000"/>
          <w:sz w:val="21"/>
          <w:shd w:val="clear" w:color="auto" w:fill="auto"/>
          <w:vertAlign w:val="baseline"/>
        </w:rPr>
        <w:t>3280</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3320</w:t>
      </w:r>
      <w:r>
        <w:rPr>
          <w:rFonts w:ascii="楷体" w:eastAsia="楷体" w:hAnsi="楷体" w:cs="楷体"/>
          <w:color w:val="000000"/>
          <w:sz w:val="21"/>
          <w:shd w:val="clear" w:color="auto" w:fill="auto"/>
          <w:vertAlign w:val="baseline"/>
        </w:rPr>
        <w:t>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距今</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万年以来</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楷体" w:eastAsia="楷体" w:hAnsi="楷体" w:cs="楷体"/>
          <w:color w:val="000000"/>
          <w:sz w:val="21"/>
          <w:shd w:val="clear" w:color="auto" w:fill="auto"/>
          <w:vertAlign w:val="baseline"/>
        </w:rPr>
        <w:t>河通过潮源侵蚀切穿分水岭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在断陷谷内向上游持续延伸近</w:t>
      </w:r>
      <w:r>
        <w:rPr>
          <w:rFonts w:ascii="Times New Roman" w:eastAsia="Times New Roman" w:hAnsi="Times New Roman" w:cs="Times New Roman"/>
          <w:color w:val="000000"/>
          <w:sz w:val="21"/>
          <w:shd w:val="clear" w:color="auto" w:fill="auto"/>
          <w:vertAlign w:val="baseline"/>
        </w:rPr>
        <w:t>80</w:t>
      </w:r>
      <w:r>
        <w:rPr>
          <w:rFonts w:ascii="楷体" w:eastAsia="楷体" w:hAnsi="楷体" w:cs="楷体"/>
          <w:color w:val="000000"/>
          <w:sz w:val="21"/>
          <w:shd w:val="clear" w:color="auto" w:fill="auto"/>
          <w:vertAlign w:val="baseline"/>
        </w:rPr>
        <w:t>千米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此后</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楷体" w:eastAsia="楷体" w:hAnsi="楷体" w:cs="楷体"/>
          <w:color w:val="000000"/>
          <w:sz w:val="21"/>
          <w:shd w:val="clear" w:color="auto" w:fill="auto"/>
          <w:vertAlign w:val="baseline"/>
        </w:rPr>
        <w:t>河的支流</w:t>
      </w:r>
      <w:r>
        <w:rPr>
          <w:rFonts w:ascii="Times New Roman" w:eastAsia="Times New Roman" w:hAnsi="Times New Roman" w:cs="Times New Roman"/>
          <w:color w:val="000000"/>
          <w:sz w:val="21"/>
          <w:shd w:val="clear" w:color="auto" w:fill="auto"/>
          <w:vertAlign w:val="baseline"/>
        </w:rPr>
        <w:t>X</w:t>
      </w:r>
      <w:r>
        <w:rPr>
          <w:rFonts w:ascii="楷体" w:eastAsia="楷体" w:hAnsi="楷体" w:cs="楷体"/>
          <w:color w:val="000000"/>
          <w:sz w:val="21"/>
          <w:shd w:val="clear" w:color="auto" w:fill="auto"/>
          <w:vertAlign w:val="baseline"/>
        </w:rPr>
        <w:t>河开始发育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分别示意距今</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万年前和现代断陷谷及其周边地貌与水系格局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52800" cy="2609850"/>
            <wp:effectExtent l="0" t="0" r="0" b="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fa639cd690934345a0f4cc637b50980e"/>
                    <pic:cNvPicPr>
                      <a:picLocks noChangeAspect="1"/>
                    </pic:cNvPicPr>
                  </pic:nvPicPr>
                  <pic:blipFill>
                    <a:blip xmlns:r="http://schemas.openxmlformats.org/officeDocument/2006/relationships" r:embed="rId8"/>
                    <a:stretch>
                      <a:fillRect/>
                    </a:stretch>
                  </pic:blipFill>
                  <pic:spPr>
                    <a:xfrm>
                      <a:off x="0" y="0"/>
                      <a:ext cx="3352800" cy="2609850"/>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河从基岩山地延伸至断陷谷时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河水流量减少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泥沙含量减少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溯源侵蚀加快</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沉积物质增多</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推断</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河变化的先后顺序是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①P</w:t>
      </w:r>
      <w:r>
        <w:rPr>
          <w:rFonts w:ascii="宋体" w:eastAsia="宋体" w:hAnsi="宋体" w:cs="宋体"/>
          <w:color w:val="000000"/>
          <w:sz w:val="21"/>
          <w:shd w:val="clear" w:color="auto" w:fill="auto"/>
          <w:vertAlign w:val="baseline"/>
        </w:rPr>
        <w:t>河改道进入</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②P</w:t>
      </w:r>
      <w:r>
        <w:rPr>
          <w:rFonts w:ascii="宋体" w:eastAsia="宋体" w:hAnsi="宋体" w:cs="宋体"/>
          <w:color w:val="000000"/>
          <w:sz w:val="21"/>
          <w:shd w:val="clear" w:color="auto" w:fill="auto"/>
          <w:vertAlign w:val="baseline"/>
        </w:rPr>
        <w:t>河中游断流</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③P</w:t>
      </w:r>
      <w:r>
        <w:rPr>
          <w:rFonts w:ascii="宋体" w:eastAsia="宋体" w:hAnsi="宋体" w:cs="宋体"/>
          <w:color w:val="000000"/>
          <w:sz w:val="21"/>
          <w:shd w:val="clear" w:color="auto" w:fill="auto"/>
          <w:vertAlign w:val="baseline"/>
        </w:rPr>
        <w:t>河下游断流</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④L</w:t>
      </w:r>
      <w:r>
        <w:rPr>
          <w:rFonts w:ascii="宋体" w:eastAsia="宋体" w:hAnsi="宋体" w:cs="宋体"/>
          <w:color w:val="000000"/>
          <w:sz w:val="21"/>
          <w:shd w:val="clear" w:color="auto" w:fill="auto"/>
          <w:vertAlign w:val="baseline"/>
        </w:rPr>
        <w:t>河袭夺</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A．①③②④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B．④③①②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C．①②④③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D．④②③①</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断陷谷内</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河比</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df07cdf-f1b1-4e38-8571-7c5ccbd201e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河床纵比降更小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年均径流量更小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沉积物粒径更大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河流阶地面更窄</w:t>
      </w:r>
    </w:p>
    <w:p>
      <w:pPr>
        <w:pStyle w:val="Normal4df07cdf-f1b1-4e38-8571-7c5ccbd201ec"/>
        <w:tabs>
          <w:tab w:val="left" w:pos="2078"/>
          <w:tab w:val="left" w:pos="4156"/>
          <w:tab w:val="left" w:pos="6234"/>
        </w:tabs>
        <w:spacing w:line="320" w:lineRule="auto"/>
        <w:ind w:left="380"/>
        <w:jc w:val="left"/>
        <w:textAlignment w:val="center"/>
        <w:rPr>
          <w:sz w:val="21"/>
        </w:rPr>
      </w:pPr>
    </w:p>
    <w:p>
      <w:pPr>
        <w:pStyle w:val="Normal4df07cdf-f1b1-4e38-8571-7c5ccbd201ec"/>
      </w:pPr>
    </w:p>
    <w:p>
      <w:pPr>
        <w:pStyle w:val="paraStyle"/>
        <w:spacing w:before="200" w:beforeAutospacing="0" w:after="200" w:afterAutospacing="0"/>
      </w:pPr>
      <w:r>
        <w:t>二、综合题</w:t>
      </w:r>
    </w:p>
    <w:p>
      <w:pPr>
        <w:pStyle w:val="Normal4df07cdf-f1b1-4e38-8571-7c5ccbd201e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长丰县位于合肥市北部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长期以农业为主</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2001</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长丰县实施了</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工业立县</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先南后北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非均衡发展</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战略</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2007</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长丰县岗集园区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双凤经济开发区初步形成以汽配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食品加工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建材等为主的产业集群</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2024</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长丰县围绕</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一区六园</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高质量培育产业集群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并依托北部智慧农业谷推进农业现代化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逐步构建城乡空间均衡发展格局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w:t>
      </w:r>
      <w:r>
        <w:rPr>
          <w:rFonts w:ascii="Times New Roman" w:eastAsia="Times New Roman" w:hAnsi="Times New Roman" w:cs="Times New Roman"/>
          <w:color w:val="000000"/>
          <w:sz w:val="21"/>
          <w:shd w:val="clear" w:color="auto" w:fill="auto"/>
          <w:vertAlign w:val="baseline"/>
        </w:rPr>
        <w:t>2024</w:t>
      </w:r>
      <w:r>
        <w:rPr>
          <w:rFonts w:ascii="楷体" w:eastAsia="楷体" w:hAnsi="楷体" w:cs="楷体"/>
          <w:color w:val="000000"/>
          <w:sz w:val="21"/>
          <w:shd w:val="clear" w:color="auto" w:fill="auto"/>
          <w:vertAlign w:val="baseline"/>
        </w:rPr>
        <w:t>年长丰县主要产业集群情况以及</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一区六园</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智慧农业谷等位置示意图</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81450" cy="2686050"/>
            <wp:effectExtent l="0" t="0" r="0" b="0"/>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3ba81e3c-fa54-44b1-947e-7dc67d019ab3"/>
                    <pic:cNvPicPr>
                      <a:picLocks noChangeAspect="1"/>
                    </pic:cNvPicPr>
                  </pic:nvPicPr>
                  <pic:blipFill>
                    <a:blip xmlns:r="http://schemas.openxmlformats.org/officeDocument/2006/relationships" r:embed="rId9"/>
                    <a:stretch>
                      <a:fillRect/>
                    </a:stretch>
                  </pic:blipFill>
                  <pic:spPr>
                    <a:xfrm>
                      <a:off x="0" y="0"/>
                      <a:ext cx="3981450" cy="2686050"/>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根据区位条件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说明长丰县实施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先南后北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非均衡发展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战略的主要原因</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概括</w:t>
      </w:r>
      <w:r>
        <w:rPr>
          <w:rFonts w:ascii="Times New Roman" w:eastAsia="Times New Roman" w:hAnsi="Times New Roman" w:cs="Times New Roman"/>
          <w:color w:val="000000"/>
          <w:sz w:val="21"/>
          <w:shd w:val="clear" w:color="auto" w:fill="auto"/>
          <w:vertAlign w:val="baseline"/>
        </w:rPr>
        <w:t>2007—2024</w:t>
      </w:r>
      <w:r>
        <w:rPr>
          <w:rFonts w:ascii="宋体" w:eastAsia="宋体" w:hAnsi="宋体" w:cs="宋体"/>
          <w:color w:val="000000"/>
          <w:sz w:val="21"/>
          <w:shd w:val="clear" w:color="auto" w:fill="auto"/>
          <w:vertAlign w:val="baseline"/>
        </w:rPr>
        <w:t>年长丰县产业集群变化的主要特征</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分析智慧农业谷对长丰县空间均衡发展的作用</w:t>
      </w:r>
      <w:r>
        <w:rPr>
          <w:rFonts w:ascii="Times New Roman" w:eastAsia="Times New Roman" w:hAnsi="Times New Roman" w:cs="Times New Roman"/>
          <w:color w:val="000000"/>
          <w:sz w:val="21"/>
          <w:shd w:val="clear" w:color="auto" w:fill="auto"/>
          <w:vertAlign w:val="baseline"/>
        </w:rPr>
        <w:t>。</w:t>
      </w:r>
    </w:p>
    <w:p>
      <w:pPr>
        <w:pStyle w:val="Normal4df07cdf-f1b1-4e38-8571-7c5ccbd201e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受季风系统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海陆位置等因素影响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乙海域降水在南海夏季风爆发后表现出显著差异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乙海域表层水体盐度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温度较高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富含营养盐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吸引大洋鱼类聚集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示意</w:t>
      </w:r>
      <w:r>
        <w:rPr>
          <w:rFonts w:ascii="Times New Roman" w:eastAsia="Times New Roman" w:hAnsi="Times New Roman" w:cs="Times New Roman"/>
          <w:color w:val="000000"/>
          <w:sz w:val="21"/>
          <w:shd w:val="clear" w:color="auto" w:fill="auto"/>
          <w:vertAlign w:val="baseline"/>
        </w:rPr>
        <w:t>2011</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2020</w:t>
      </w:r>
      <w:r>
        <w:rPr>
          <w:rFonts w:ascii="楷体" w:eastAsia="楷体" w:hAnsi="楷体" w:cs="楷体"/>
          <w:color w:val="000000"/>
          <w:sz w:val="21"/>
          <w:shd w:val="clear" w:color="auto" w:fill="auto"/>
          <w:vertAlign w:val="baseline"/>
        </w:rPr>
        <w:t>年南海夏季风爆发后</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天内甲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乙海域的日平均降水量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示意</w:t>
      </w:r>
      <w:r>
        <w:rPr>
          <w:rFonts w:ascii="Times New Roman" w:eastAsia="Times New Roman" w:hAnsi="Times New Roman" w:cs="Times New Roman"/>
          <w:color w:val="000000"/>
          <w:sz w:val="21"/>
          <w:shd w:val="clear" w:color="auto" w:fill="auto"/>
          <w:vertAlign w:val="baseline"/>
        </w:rPr>
        <w:t>2011</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2020</w:t>
      </w:r>
      <w:r>
        <w:rPr>
          <w:rFonts w:ascii="楷体" w:eastAsia="楷体" w:hAnsi="楷体" w:cs="楷体"/>
          <w:color w:val="000000"/>
          <w:sz w:val="21"/>
          <w:shd w:val="clear" w:color="auto" w:fill="auto"/>
          <w:vertAlign w:val="baseline"/>
        </w:rPr>
        <w:t>年南海夏季风爆发后甲海域出现强降水时环南海区域的低空平均风速和主要风向分布</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33900" cy="2305050"/>
            <wp:effectExtent l="0" t="0" r="0" b="0"/>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d444458b343f440192990b045228a536"/>
                    <pic:cNvPicPr>
                      <a:picLocks noChangeAspect="1"/>
                    </pic:cNvPicPr>
                  </pic:nvPicPr>
                  <pic:blipFill>
                    <a:blip xmlns:r="http://schemas.openxmlformats.org/officeDocument/2006/relationships" r:embed="rId10"/>
                    <a:stretch>
                      <a:fillRect/>
                    </a:stretch>
                  </pic:blipFill>
                  <pic:spPr>
                    <a:xfrm>
                      <a:off x="0" y="0"/>
                      <a:ext cx="4533900" cy="2305050"/>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据图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指出与乙海域相比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甲海域降水的主要特征</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分析甲海域强降水的成因</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结合降水差异和夏季风的影响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分析乙海域大洋鱼类聚集条件的形成原因</w:t>
      </w:r>
      <w:r>
        <w:rPr>
          <w:rFonts w:ascii="Times New Roman" w:eastAsia="Times New Roman" w:hAnsi="Times New Roman" w:cs="Times New Roman"/>
          <w:color w:val="000000"/>
          <w:sz w:val="21"/>
          <w:shd w:val="clear" w:color="auto" w:fill="auto"/>
          <w:vertAlign w:val="baseline"/>
        </w:rPr>
        <w:t>。</w:t>
      </w:r>
    </w:p>
    <w:p>
      <w:pPr>
        <w:pStyle w:val="Normal4df07cdf-f1b1-4e38-8571-7c5ccbd201e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多中心组团式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是都市圈空间组织的重要形态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各组团依据位置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交通等条件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通过要素流动形成分工明确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联系紧密的关联网络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为强化关联网络实现一体化发展</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2022</w:t>
      </w:r>
      <w:r>
        <w:rPr>
          <w:rFonts w:ascii="楷体" w:eastAsia="楷体" w:hAnsi="楷体" w:cs="楷体"/>
          <w:color w:val="000000"/>
          <w:sz w:val="21"/>
          <w:shd w:val="clear" w:color="auto" w:fill="auto"/>
          <w:vertAlign w:val="baseline"/>
        </w:rPr>
        <w:t>年湖北省将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武鄂黄黄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地区划分为</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个城市组团</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其中西部的武昌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汉口和汉阳为武汉中心城区组团</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人口密度大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房价较高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东部的鄂州</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黄冈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黄石</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大冶</w:t>
      </w:r>
      <w:r>
        <w:rPr>
          <w:rFonts w:ascii="Times New Roman" w:eastAsia="Times New Roman" w:hAnsi="Times New Roman" w:cs="Times New Roman"/>
          <w:color w:val="000000"/>
          <w:sz w:val="21"/>
          <w:shd w:val="clear" w:color="auto" w:fill="auto"/>
          <w:vertAlign w:val="baseline"/>
        </w:rPr>
        <w:t>3</w:t>
      </w:r>
      <w:r>
        <w:rPr>
          <w:rFonts w:ascii="楷体" w:eastAsia="楷体" w:hAnsi="楷体" w:cs="楷体"/>
          <w:color w:val="000000"/>
          <w:sz w:val="21"/>
          <w:shd w:val="clear" w:color="auto" w:fill="auto"/>
          <w:vertAlign w:val="baseline"/>
        </w:rPr>
        <w:t>个外围组团经济发展水平相对较低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主导产业趋同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武汉新城组团位于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武鄂黄黄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区域中心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光电子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新材料等产业已初具规模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应不断强化集聚与辐射功能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逐步成为武汉都市圈的增长极</w:t>
      </w:r>
      <w:r>
        <w:rPr>
          <w:rFonts w:ascii="楷体" w:eastAsia="楷体" w:hAnsi="楷体" w:cs="楷体"/>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95625" cy="2276475"/>
            <wp:effectExtent l="0" t="0" r="9525" b="9525"/>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afb28c98e4114ef7989bcec54fb934de"/>
                    <pic:cNvPicPr>
                      <a:picLocks noChangeAspect="1"/>
                    </pic:cNvPicPr>
                  </pic:nvPicPr>
                  <pic:blipFill>
                    <a:blip xmlns:r="http://schemas.openxmlformats.org/officeDocument/2006/relationships" r:embed="rId11"/>
                    <a:stretch>
                      <a:fillRect/>
                    </a:stretch>
                  </pic:blipFill>
                  <pic:spPr>
                    <a:xfrm>
                      <a:off x="0" y="0"/>
                      <a:ext cx="3095625" cy="2276475"/>
                    </a:xfrm>
                    <a:prstGeom prst="rect">
                      <a:avLst/>
                    </a:prstGeom>
                  </pic:spPr>
                </pic:pic>
              </a:graphicData>
            </a:graphic>
          </wp:inline>
        </w:drawing>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与武汉新城组团比较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指出武昌组团土地利用的特点</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说明武汉新城组团的位置对其人口集聚的积极影响</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分析黄石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大冶组团依托不同交通方式融入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武鄂黄黄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关联网络的途径</w:t>
      </w:r>
      <w:r>
        <w:rPr>
          <w:rFonts w:ascii="Times New Roman" w:eastAsia="Times New Roman" w:hAnsi="Times New Roman" w:cs="Times New Roman"/>
          <w:color w:val="000000"/>
          <w:sz w:val="21"/>
          <w:shd w:val="clear" w:color="auto" w:fill="auto"/>
          <w:vertAlign w:val="baseline"/>
        </w:rPr>
        <w:t>。</w:t>
      </w:r>
    </w:p>
    <w:p>
      <w:pPr>
        <w:pStyle w:val="subTitleStyle784e990c-c16c-4ffb-be50-cf9c98717f54"/>
        <w:spacing w:before="600" w:after="600" w:afterAutospacing="0"/>
        <w:jc w:val="center"/>
      </w:pPr>
      <w:r>
        <w:br w:type="page"/>
      </w:r>
      <w:r>
        <w:t>参考答案</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A</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黄杜村从种茶到茶旅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茶文化休闲产业融合发展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茶衍生产业不断迭代升级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黄杜村</w:t>
      </w:r>
      <w:r>
        <w:rPr>
          <w:rFonts w:ascii="宋体" w:eastAsia="宋体" w:hAnsi="宋体" w:cs="宋体"/>
          <w:color w:val="000000"/>
          <w:sz w:val="21"/>
          <w:shd w:val="clear" w:color="auto" w:fill="auto"/>
          <w:vertAlign w:val="baseline"/>
        </w:rPr>
        <w:t>的</w:t>
      </w:r>
      <w:r>
        <w:rPr>
          <w:rFonts w:ascii="宋体" w:eastAsia="宋体" w:hAnsi="宋体" w:cs="宋体"/>
          <w:color w:val="000000"/>
          <w:sz w:val="21"/>
          <w:shd w:val="clear" w:color="auto" w:fill="auto"/>
          <w:vertAlign w:val="baseline"/>
        </w:rPr>
        <w:t>这</w:t>
      </w:r>
      <w:r>
        <w:rPr>
          <w:rFonts w:ascii="宋体" w:eastAsia="宋体" w:hAnsi="宋体" w:cs="宋体"/>
          <w:color w:val="000000"/>
          <w:sz w:val="21"/>
          <w:shd w:val="clear" w:color="auto" w:fill="auto"/>
          <w:vertAlign w:val="baseline"/>
        </w:rPr>
        <w:t>种产业升级更多是为了满足多元的市场需求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拓展市场空间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获取更多的经济效益</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优美的生态环境是黄杜村发展绿色产业的基础条件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为产业发展提供了良好的环境支撑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w:t>
      </w:r>
      <w:r>
        <w:rPr>
          <w:rFonts w:ascii="宋体" w:eastAsia="宋体" w:hAnsi="宋体" w:cs="宋体"/>
          <w:color w:val="000000"/>
          <w:sz w:val="21"/>
          <w:shd w:val="clear" w:color="auto" w:fill="auto"/>
          <w:vertAlign w:val="baseline"/>
        </w:rPr>
        <w:t>其</w:t>
      </w:r>
      <w:r>
        <w:rPr>
          <w:rFonts w:ascii="宋体" w:eastAsia="宋体" w:hAnsi="宋体" w:cs="宋体"/>
          <w:color w:val="000000"/>
          <w:sz w:val="21"/>
          <w:shd w:val="clear" w:color="auto" w:fill="auto"/>
          <w:vertAlign w:val="baseline"/>
        </w:rPr>
        <w:t>本身并不能直接促使产业不断迭代升级</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材料未提及黄杜村区位交通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w:t>
      </w:r>
      <w:r>
        <w:rPr>
          <w:rFonts w:ascii="宋体" w:eastAsia="宋体" w:hAnsi="宋体" w:cs="宋体"/>
          <w:color w:val="000000"/>
          <w:sz w:val="21"/>
          <w:shd w:val="clear" w:color="auto" w:fill="auto"/>
          <w:vertAlign w:val="baseline"/>
        </w:rPr>
        <w:t>区位交通是产业发展基础条件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而非产业迭代升级的驱动力</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材料中未提及品牌效应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品牌能够提升产品附加值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吸引更多消费者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为产业升级提供市场基础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但其</w:t>
      </w:r>
      <w:r>
        <w:rPr>
          <w:rFonts w:ascii="宋体" w:eastAsia="宋体" w:hAnsi="宋体" w:cs="宋体"/>
          <w:color w:val="000000"/>
          <w:sz w:val="21"/>
          <w:shd w:val="clear" w:color="auto" w:fill="auto"/>
          <w:vertAlign w:val="baseline"/>
        </w:rPr>
        <w:t>也不属于产业迭代升级的驱动力</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据材料</w:t>
      </w:r>
      <w:r>
        <w:rPr>
          <w:rFonts w:ascii="Times New Roman" w:eastAsia="Times New Roman" w:hAnsi="Times New Roman" w:cs="Times New Roman"/>
          <w:color w:val="000000"/>
          <w:sz w:val="21"/>
          <w:shd w:val="clear" w:color="auto" w:fill="auto"/>
          <w:vertAlign w:val="baseline"/>
        </w:rPr>
        <w:t>“2025</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该村采取措施全面推动生产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生活向更高层次绿色发展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宋体" w:eastAsia="宋体" w:hAnsi="宋体" w:cs="宋体"/>
          <w:color w:val="000000"/>
          <w:sz w:val="21"/>
          <w:shd w:val="clear" w:color="auto" w:fill="auto"/>
          <w:vertAlign w:val="baseline"/>
        </w:rPr>
        <w:t>需要兼顾生态保护和产业质量提升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推广清洁能源使用全覆盖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w:t>
      </w:r>
      <w:r>
        <w:rPr>
          <w:rFonts w:ascii="宋体" w:eastAsia="宋体" w:hAnsi="宋体" w:cs="宋体"/>
          <w:color w:val="000000"/>
          <w:sz w:val="21"/>
          <w:shd w:val="clear" w:color="auto" w:fill="auto"/>
          <w:vertAlign w:val="baseline"/>
        </w:rPr>
        <w:t>减少传统能源使用带来的污染排放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降低碳排放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优化能源结构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从生产和生活能源消费端推动绿色发展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助力实现更高层次的绿色发展目标</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完善垃圾分类与收集系统属于基础环保措施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侧重废弃物末端处理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是绿色发展的基础环节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更高层次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的突破性举措</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扩大规模化茶园种植面积可能会过度开发土地资源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破坏原有生态平衡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与高层次绿色发展目标相悖</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各类外来投资项目质量参差不齐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如果缺乏合理规划和筛选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可能会引入一些高污染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高能耗的项目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破坏</w:t>
      </w:r>
      <w:r>
        <w:rPr>
          <w:rFonts w:ascii="宋体" w:eastAsia="宋体" w:hAnsi="宋体" w:cs="宋体"/>
          <w:color w:val="000000"/>
          <w:sz w:val="21"/>
          <w:shd w:val="clear" w:color="auto" w:fill="auto"/>
          <w:vertAlign w:val="baseline"/>
        </w:rPr>
        <w:t>当地生态环境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不符合</w:t>
      </w:r>
      <w:r>
        <w:rPr>
          <w:rFonts w:ascii="宋体" w:eastAsia="宋体" w:hAnsi="宋体" w:cs="宋体"/>
          <w:color w:val="000000"/>
          <w:sz w:val="21"/>
          <w:shd w:val="clear" w:color="auto" w:fill="auto"/>
          <w:vertAlign w:val="baseline"/>
        </w:rPr>
        <w:t>绿色发展目标</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D</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A</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物流公司距高速公路的平均距离从</w:t>
      </w:r>
      <w:r>
        <w:rPr>
          <w:rFonts w:ascii="Times New Roman" w:eastAsia="Times New Roman" w:hAnsi="Times New Roman" w:cs="Times New Roman"/>
          <w:color w:val="000000"/>
          <w:sz w:val="21"/>
          <w:shd w:val="clear" w:color="auto" w:fill="auto"/>
          <w:vertAlign w:val="baseline"/>
        </w:rPr>
        <w:t>1997</w:t>
      </w:r>
      <w:r>
        <w:rPr>
          <w:rFonts w:ascii="宋体" w:eastAsia="宋体" w:hAnsi="宋体" w:cs="宋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千米变为</w:t>
      </w:r>
      <w:r>
        <w:rPr>
          <w:rFonts w:ascii="Times New Roman" w:eastAsia="Times New Roman" w:hAnsi="Times New Roman" w:cs="Times New Roman"/>
          <w:color w:val="000000"/>
          <w:sz w:val="21"/>
          <w:shd w:val="clear" w:color="auto" w:fill="auto"/>
          <w:vertAlign w:val="baseline"/>
        </w:rPr>
        <w:t>2014</w:t>
      </w:r>
      <w:r>
        <w:rPr>
          <w:rFonts w:ascii="宋体" w:eastAsia="宋体" w:hAnsi="宋体" w:cs="宋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千米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交通条件与市场规模是影响西班牙本土物流公司分布的主导因素之一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图中显示城市地区本土物流公司较为分布较多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城市地区人口密集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物流市场需求量大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说明市场规模也是影响西班牙本土物流公司分布的主导因素</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一般交通便利的地方和城区的土地价格较高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因此土地价格不是影响西班牙本土物流公司分布的主导因素</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AB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信息服务对物流公司的布局影响较小</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4．</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
      <w:tblGrid>
        <w:gridCol w:w="551"/>
        <w:gridCol w:w="7199"/>
        <w:gridCol w:w="550"/>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Ex>
        <w:trPr>
          <w:trHeight w:hRule="auto" w:val="0"/>
        </w:trPr>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选项</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分析</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结论</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物流公司距高速公路的平均距离从</w:t>
            </w:r>
            <w:r>
              <w:rPr>
                <w:rFonts w:ascii="Times New Roman" w:eastAsia="Times New Roman" w:hAnsi="Times New Roman" w:cs="Times New Roman"/>
                <w:color w:val="000000"/>
                <w:sz w:val="21"/>
                <w:shd w:val="clear" w:color="auto" w:fill="auto"/>
                <w:vertAlign w:val="baseline"/>
              </w:rPr>
              <w:t>1997</w:t>
            </w:r>
            <w:r>
              <w:rPr>
                <w:rFonts w:ascii="宋体" w:eastAsia="宋体" w:hAnsi="宋体" w:cs="宋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千米变为</w:t>
            </w:r>
            <w:r>
              <w:rPr>
                <w:rFonts w:ascii="Times New Roman" w:eastAsia="Times New Roman" w:hAnsi="Times New Roman" w:cs="Times New Roman"/>
                <w:color w:val="000000"/>
                <w:sz w:val="21"/>
                <w:shd w:val="clear" w:color="auto" w:fill="auto"/>
                <w:vertAlign w:val="baseline"/>
              </w:rPr>
              <w:t>2014</w:t>
            </w:r>
            <w:r>
              <w:rPr>
                <w:rFonts w:ascii="宋体" w:eastAsia="宋体" w:hAnsi="宋体" w:cs="宋体"/>
                <w:color w:val="000000"/>
                <w:sz w:val="21"/>
                <w:shd w:val="clear" w:color="auto" w:fill="auto"/>
                <w:vertAlign w:val="baseline"/>
              </w:rPr>
              <w:t>年的</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千米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物流公司距离高速越近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货物集散的运输时间越短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周转速度越快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效率越高</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正确</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B</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客户数量取决于市场需求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距高速距离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无直接因果关系</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C</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规模扩大需综合资金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政策等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仅距离高速更近不必然导致规模扩大</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D</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服务改善涉及服务态度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网点覆盖等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距离高速近主要影响</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运输速度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不直接等同于服务改善</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bl>
    <w:p>
      <w:pPr>
        <w:pStyle w:val="Normal4df07cdf-f1b1-4e38-8571-7c5ccbd201ec"/>
        <w:spacing w:line="320" w:lineRule="auto"/>
        <w:jc w:val="left"/>
        <w:textAlignment w:val="center"/>
      </w:pPr>
    </w:p>
    <w:p>
      <w:pPr>
        <w:pStyle w:val="Normal4df07cdf-f1b1-4e38-8571-7c5ccbd201ec"/>
        <w:spacing w:line="320" w:lineRule="auto"/>
        <w:jc w:val="left"/>
        <w:textAlignment w:val="center"/>
      </w:pP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D</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B</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5．</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
      <w:tblGrid>
        <w:gridCol w:w="327"/>
        <w:gridCol w:w="7647"/>
        <w:gridCol w:w="326"/>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Ex>
        <w:trPr>
          <w:trHeight w:hRule="auto" w:val="0"/>
        </w:trPr>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选项</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分析</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结论</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A</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材料并没有体现不同养殖品种吸收并固定二氧化碳的能力有何不同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因此增加养殖品种不属于有效措施</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B</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降低企业的碳排放属于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减排</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范畴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增加碳汇量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通过贝类吸收碳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无直接关联</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C</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改善水质虽利于贝类生存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但并未直接提升固碳量</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错误</w:t>
            </w:r>
          </w:p>
        </w:tc>
      </w:tr>
      <w:tr>
        <w:tblPrEx>
          <w:tblLook w:val="0600"/>
        </w:tblPrEx>
        <w:trPr>
          <w:trHeight w:hRule="auto" w:val="0"/>
        </w:trPr>
        <w:tc>
          <w:tcPr>
            <w:tcW w:w="0" w:type="auto"/>
            <w:vAlign w:val="center"/>
          </w:tcPr>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D</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牡蛎养殖碳汇量取决于其固定二氧化碳的总量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而总量与单位面积内贝类生物量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因此提升养殖单产水平是扩大秀屿区牡蛎养殖碳汇量的有效措施</w:t>
            </w:r>
          </w:p>
        </w:tc>
        <w:tc>
          <w:tcPr>
            <w:tcW w:w="0" w:type="auto"/>
            <w:vAlign w:val="center"/>
          </w:tcPr>
          <w:p>
            <w:pPr>
              <w:pStyle w:val="Normal4df07cdf-f1b1-4e38-8571-7c5ccbd201ec"/>
              <w:spacing w:line="320" w:lineRule="auto"/>
              <w:jc w:val="left"/>
              <w:textAlignment w:val="center"/>
            </w:pPr>
            <w:r>
              <w:rPr>
                <w:rFonts w:ascii="宋体" w:eastAsia="宋体" w:hAnsi="宋体" w:cs="宋体"/>
                <w:color w:val="000000"/>
                <w:sz w:val="21"/>
                <w:shd w:val="clear" w:color="auto" w:fill="auto"/>
                <w:vertAlign w:val="baseline"/>
              </w:rPr>
              <w:t>正确</w:t>
            </w:r>
          </w:p>
        </w:tc>
      </w:tr>
    </w:tbl>
    <w:p>
      <w:pPr>
        <w:pStyle w:val="Normal4df07cdf-f1b1-4e38-8571-7c5ccbd201ec"/>
        <w:spacing w:line="320" w:lineRule="auto"/>
        <w:jc w:val="left"/>
        <w:textAlignment w:val="cente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碳汇交易不涉及资源循环利用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不能提高资源利用率</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通过碳汇交易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养殖企业因固碳功能获得额外收入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直接激励其采用生态养殖方式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提高固碳效果</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双壳贝类生活在水中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对海岸带景观的改善作用不明显</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双壳贝类碳汇交易企业购买养殖活动产生的碳汇额度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用于抵消自身碳排放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并不是对贝类本身进行交易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因此对提升贝类价格的影响较小</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A</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】7．</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600"/>
      </w:tblPr>
      <w:tblGrid>
        <w:gridCol w:w="982"/>
        <w:gridCol w:w="5945"/>
        <w:gridCol w:w="792"/>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600"/>
        </w:tblPrEx>
        <w:trPr>
          <w:trHeight w:val="282"/>
          <w:jc w:val="center"/>
        </w:trPr>
        <w:tc>
          <w:tcPr>
            <w:tcW w:w="98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选项</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分析</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结论</w:t>
            </w:r>
          </w:p>
        </w:tc>
      </w:tr>
      <w:tr>
        <w:tblPrEx>
          <w:tblW w:w="0" w:type="auto"/>
          <w:jc w:val="center"/>
          <w:tblCellMar>
            <w:top w:w="0" w:type="dxa"/>
            <w:left w:w="108" w:type="dxa"/>
            <w:bottom w:w="0" w:type="dxa"/>
            <w:right w:w="108" w:type="dxa"/>
          </w:tblCellMar>
          <w:tblLook w:val="0600"/>
        </w:tblPrEx>
        <w:trPr>
          <w:trHeight w:val="1648"/>
          <w:jc w:val="center"/>
        </w:trPr>
        <w:tc>
          <w:tcPr>
            <w:tcW w:w="982" w:type="dxa"/>
            <w:vAlign w:val="center"/>
          </w:tcPr>
          <w:p>
            <w:pPr>
              <w:pStyle w:val="Normal4df07cdf-f1b1-4e38-8571-7c5ccbd201ec"/>
              <w:bidi w:val="0"/>
              <w:spacing w:line="320" w:lineRule="auto"/>
              <w:rPr>
                <w:sz w:val="21"/>
                <w:vertAlign w:val="baseline"/>
              </w:rPr>
            </w:pPr>
            <w:r>
              <w:rPr>
                <w:rFonts w:ascii="Times New Roman" w:eastAsia="Times New Roman" w:hAnsi="Times New Roman" w:cs="Times New Roman"/>
                <w:color w:val="000000"/>
                <w:sz w:val="21"/>
                <w:shd w:val="clear" w:color="auto" w:fill="auto"/>
                <w:vertAlign w:val="baseline"/>
              </w:rPr>
              <w:t>A</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地层对应的地质年代由老到新为早石炭纪至晚新近纪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早石炭纪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晚石炭纪属于该时期范围内且图中岩层连续</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正确</w:t>
            </w:r>
          </w:p>
        </w:tc>
      </w:tr>
      <w:tr>
        <w:tblPrEx>
          <w:tblW w:w="0" w:type="auto"/>
          <w:jc w:val="center"/>
          <w:tblCellMar>
            <w:top w:w="0" w:type="dxa"/>
            <w:left w:w="108" w:type="dxa"/>
            <w:bottom w:w="0" w:type="dxa"/>
            <w:right w:w="108" w:type="dxa"/>
          </w:tblCellMar>
          <w:tblLook w:val="0600"/>
        </w:tblPrEx>
        <w:trPr>
          <w:trHeight w:val="829"/>
          <w:jc w:val="center"/>
        </w:trPr>
        <w:tc>
          <w:tcPr>
            <w:tcW w:w="982" w:type="dxa"/>
            <w:vAlign w:val="center"/>
          </w:tcPr>
          <w:p>
            <w:pPr>
              <w:pStyle w:val="Normal4df07cdf-f1b1-4e38-8571-7c5ccbd201ec"/>
              <w:bidi w:val="0"/>
              <w:spacing w:line="320" w:lineRule="auto"/>
              <w:rPr>
                <w:rFonts w:hint="default"/>
                <w:sz w:val="21"/>
                <w:vertAlign w:val="baseline"/>
                <w:lang w:val="en-US"/>
              </w:rPr>
            </w:pPr>
            <w:r>
              <w:rPr>
                <w:rFonts w:ascii="Times New Roman" w:eastAsia="Times New Roman" w:hAnsi="Times New Roman" w:cs="Times New Roman"/>
                <w:color w:val="000000"/>
                <w:sz w:val="21"/>
                <w:shd w:val="clear" w:color="auto" w:fill="auto"/>
                <w:vertAlign w:val="baseline"/>
              </w:rPr>
              <w:t>B</w:t>
            </w:r>
            <w:r>
              <w:rPr>
                <w:rFonts w:ascii="Times New Roman" w:eastAsia="Times New Roman" w:hAnsi="Times New Roman" w:cs="Times New Roman"/>
                <w:color w:val="000000"/>
                <w:sz w:val="21"/>
                <w:shd w:val="clear" w:color="auto" w:fill="auto"/>
                <w:vertAlign w:val="baseline"/>
              </w:rPr>
              <w:t>、C</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三叠纪至早新近纪之间的地层缺失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w:t>
            </w:r>
            <w:r>
              <w:rPr>
                <w:rFonts w:ascii="宋体" w:eastAsia="宋体" w:hAnsi="宋体" w:cs="宋体"/>
                <w:color w:val="000000"/>
                <w:sz w:val="21"/>
                <w:shd w:val="clear" w:color="auto" w:fill="auto"/>
                <w:vertAlign w:val="baseline"/>
              </w:rPr>
              <w:t>所学知识可知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中三叠纪和新近纪之间还有晚三叠纪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侏罗纪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白垩纪和古近纪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因此没有中三叠纪和晚三叠纪地层分布</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错误</w:t>
            </w:r>
          </w:p>
        </w:tc>
      </w:tr>
      <w:tr>
        <w:tblPrEx>
          <w:tblW w:w="0" w:type="auto"/>
          <w:jc w:val="center"/>
          <w:tblCellMar>
            <w:top w:w="0" w:type="dxa"/>
            <w:left w:w="108" w:type="dxa"/>
            <w:bottom w:w="0" w:type="dxa"/>
            <w:right w:w="108" w:type="dxa"/>
          </w:tblCellMar>
          <w:tblLook w:val="0600"/>
        </w:tblPrEx>
        <w:trPr>
          <w:trHeight w:val="1111"/>
          <w:jc w:val="center"/>
        </w:trPr>
        <w:tc>
          <w:tcPr>
            <w:tcW w:w="982" w:type="dxa"/>
            <w:vAlign w:val="center"/>
          </w:tcPr>
          <w:p>
            <w:pPr>
              <w:pStyle w:val="Normal4df07cdf-f1b1-4e38-8571-7c5ccbd201ec"/>
              <w:bidi w:val="0"/>
              <w:spacing w:line="320" w:lineRule="auto"/>
              <w:rPr>
                <w:sz w:val="21"/>
                <w:vertAlign w:val="baseline"/>
              </w:rPr>
            </w:pPr>
            <w:r>
              <w:rPr>
                <w:rFonts w:ascii="Times New Roman" w:eastAsia="Times New Roman" w:hAnsi="Times New Roman" w:cs="Times New Roman"/>
                <w:color w:val="000000"/>
                <w:sz w:val="21"/>
                <w:shd w:val="clear" w:color="auto" w:fill="auto"/>
                <w:vertAlign w:val="baseline"/>
              </w:rPr>
              <w:t>D</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，N</w:t>
            </w:r>
            <w:r>
              <w:rPr>
                <w:rFonts w:ascii="Times New Roman" w:eastAsia="Times New Roman" w:hAnsi="Times New Roman" w:cs="Times New Roman"/>
                <w:color w:val="000000"/>
                <w:sz w:val="21"/>
                <w:shd w:val="clear" w:color="auto" w:fill="auto"/>
                <w:vertAlign w:val="subscript"/>
              </w:rPr>
              <w:t>1</w:t>
            </w:r>
            <w:r>
              <w:rPr>
                <w:rFonts w:ascii="宋体" w:eastAsia="宋体" w:hAnsi="宋体" w:cs="宋体"/>
                <w:color w:val="000000"/>
                <w:sz w:val="21"/>
                <w:shd w:val="clear" w:color="auto" w:fill="auto"/>
                <w:vertAlign w:val="baseline"/>
              </w:rPr>
              <w:t>所示的早新近纪地层发生错位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没有呈水平分布</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错误</w:t>
            </w:r>
          </w:p>
        </w:tc>
      </w:tr>
    </w:tbl>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早石炭纪至早三叠纪时期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该区域的地层没有缺失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因此主要经历沉积过程</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结合图中岩层界限弯曲情况可知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褶皱发生在</w:t>
      </w:r>
      <w:r>
        <w:rPr>
          <w:rFonts w:ascii="Times New Roman" w:eastAsia="Times New Roman" w:hAnsi="Times New Roman" w:cs="Times New Roman"/>
          <w:color w:val="000000"/>
          <w:sz w:val="21"/>
          <w:shd w:val="clear" w:color="auto" w:fill="auto"/>
          <w:vertAlign w:val="baseline"/>
        </w:rPr>
        <w:t>T</w:t>
      </w:r>
      <w:r>
        <w:rPr>
          <w:rFonts w:ascii="Times New Roman" w:eastAsia="Times New Roman" w:hAnsi="Times New Roman" w:cs="Times New Roman"/>
          <w:color w:val="000000"/>
          <w:sz w:val="21"/>
          <w:shd w:val="clear" w:color="auto" w:fill="auto"/>
          <w:vertAlign w:val="subscript"/>
        </w:rPr>
        <w:t>2</w:t>
      </w:r>
      <w:r>
        <w:rPr>
          <w:rFonts w:ascii="宋体" w:eastAsia="宋体" w:hAnsi="宋体" w:cs="宋体"/>
          <w:color w:val="000000"/>
          <w:sz w:val="21"/>
          <w:shd w:val="clear" w:color="auto" w:fill="auto"/>
          <w:vertAlign w:val="baseline"/>
        </w:rPr>
        <w:t>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即在中三叠纪之后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而早石炭纪至早三叠纪均处于中三叠纪之前</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早石炭纪至早三叠纪时期的地层大多为连续分布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没有明显的断裂错位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断层位移不是其主要经历的地质作用</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B</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】9．</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600"/>
      </w:tblPr>
      <w:tblGrid>
        <w:gridCol w:w="982"/>
        <w:gridCol w:w="5945"/>
        <w:gridCol w:w="792"/>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600"/>
        </w:tblPrEx>
        <w:trPr>
          <w:trHeight w:val="282"/>
          <w:jc w:val="center"/>
        </w:trPr>
        <w:tc>
          <w:tcPr>
            <w:tcW w:w="98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选项</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分析</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结论</w:t>
            </w:r>
          </w:p>
        </w:tc>
      </w:tr>
      <w:tr>
        <w:tblPrEx>
          <w:tblW w:w="0" w:type="auto"/>
          <w:jc w:val="center"/>
          <w:tblCellMar>
            <w:top w:w="0" w:type="dxa"/>
            <w:left w:w="108" w:type="dxa"/>
            <w:bottom w:w="0" w:type="dxa"/>
            <w:right w:w="108" w:type="dxa"/>
          </w:tblCellMar>
          <w:tblLook w:val="0600"/>
        </w:tblPrEx>
        <w:trPr>
          <w:trHeight w:val="1648"/>
          <w:jc w:val="center"/>
        </w:trPr>
        <w:tc>
          <w:tcPr>
            <w:tcW w:w="982" w:type="dxa"/>
            <w:vAlign w:val="center"/>
          </w:tcPr>
          <w:p>
            <w:pPr>
              <w:pStyle w:val="Normal4df07cdf-f1b1-4e38-8571-7c5ccbd201ec"/>
              <w:bidi w:val="0"/>
              <w:spacing w:line="320" w:lineRule="auto"/>
              <w:rPr>
                <w:rFonts w:hint="default"/>
                <w:sz w:val="21"/>
                <w:vertAlign w:val="baseline"/>
                <w:lang w:val="en-US"/>
              </w:rPr>
            </w:pPr>
            <w:r>
              <w:rPr>
                <w:rFonts w:ascii="Times New Roman" w:eastAsia="Times New Roman" w:hAnsi="Times New Roman" w:cs="Times New Roman"/>
                <w:color w:val="000000"/>
                <w:sz w:val="21"/>
                <w:shd w:val="clear" w:color="auto" w:fill="auto"/>
                <w:vertAlign w:val="baseline"/>
              </w:rPr>
              <w:t>A</w:t>
            </w:r>
            <w:r>
              <w:rPr>
                <w:rFonts w:ascii="Times New Roman" w:eastAsia="Times New Roman" w:hAnsi="Times New Roman" w:cs="Times New Roman"/>
                <w:color w:val="000000"/>
                <w:sz w:val="21"/>
                <w:shd w:val="clear" w:color="auto" w:fill="auto"/>
                <w:vertAlign w:val="baseline"/>
              </w:rPr>
              <w:t>、D</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地下水位虚线与河流两侧山坡的交点为地下水出露点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读图</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与监测初期相比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监测后期地下水出露点的位置向坡下移动</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错误</w:t>
            </w:r>
          </w:p>
        </w:tc>
      </w:tr>
      <w:tr>
        <w:tblPrEx>
          <w:tblW w:w="0" w:type="auto"/>
          <w:jc w:val="center"/>
          <w:tblCellMar>
            <w:top w:w="0" w:type="dxa"/>
            <w:left w:w="108" w:type="dxa"/>
            <w:bottom w:w="0" w:type="dxa"/>
            <w:right w:w="108" w:type="dxa"/>
          </w:tblCellMar>
          <w:tblLook w:val="0600"/>
        </w:tblPrEx>
        <w:trPr>
          <w:trHeight w:val="829"/>
          <w:jc w:val="center"/>
        </w:trPr>
        <w:tc>
          <w:tcPr>
            <w:tcW w:w="982" w:type="dxa"/>
            <w:vAlign w:val="center"/>
          </w:tcPr>
          <w:p>
            <w:pPr>
              <w:pStyle w:val="Normal4df07cdf-f1b1-4e38-8571-7c5ccbd201ec"/>
              <w:bidi w:val="0"/>
              <w:spacing w:line="320" w:lineRule="auto"/>
              <w:rPr>
                <w:sz w:val="21"/>
                <w:vertAlign w:val="baseline"/>
              </w:rPr>
            </w:pPr>
            <w:r>
              <w:rPr>
                <w:rFonts w:ascii="Times New Roman" w:eastAsia="Times New Roman" w:hAnsi="Times New Roman" w:cs="Times New Roman"/>
                <w:color w:val="000000"/>
                <w:sz w:val="21"/>
                <w:shd w:val="clear" w:color="auto" w:fill="auto"/>
                <w:vertAlign w:val="baseline"/>
              </w:rPr>
              <w:t>B</w:t>
            </w:r>
          </w:p>
        </w:tc>
        <w:tc>
          <w:tcPr>
            <w:tcW w:w="5945" w:type="dxa"/>
            <w:vAlign w:val="center"/>
          </w:tcPr>
          <w:p>
            <w:pPr>
              <w:pStyle w:val="Normal4df07cdf-f1b1-4e38-8571-7c5ccbd201ec"/>
              <w:bidi w:val="0"/>
              <w:spacing w:line="320" w:lineRule="auto"/>
              <w:rPr>
                <w:rFonts w:eastAsia="宋体" w:hint="default"/>
                <w:sz w:val="21"/>
                <w:vertAlign w:val="baseline"/>
                <w:lang w:val="en-US" w:eastAsia="zh-CN"/>
              </w:rPr>
            </w:pPr>
            <w:r>
              <w:rPr>
                <w:rFonts w:ascii="宋体" w:eastAsia="宋体" w:hAnsi="宋体" w:cs="宋体"/>
                <w:color w:val="000000"/>
                <w:sz w:val="21"/>
                <w:shd w:val="clear" w:color="auto" w:fill="auto"/>
                <w:vertAlign w:val="baseline"/>
              </w:rPr>
              <w:t>地下水出露点的移动与多年冻土的密度变化关系</w:t>
            </w:r>
            <w:r>
              <w:rPr>
                <w:rFonts w:ascii="宋体" w:eastAsia="宋体" w:hAnsi="宋体" w:cs="宋体"/>
                <w:color w:val="000000"/>
                <w:sz w:val="21"/>
                <w:shd w:val="clear" w:color="auto" w:fill="auto"/>
                <w:vertAlign w:val="baseline"/>
              </w:rPr>
              <w:t>不大</w:t>
            </w:r>
          </w:p>
        </w:tc>
        <w:tc>
          <w:tcPr>
            <w:tcW w:w="792"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错误</w:t>
            </w:r>
          </w:p>
        </w:tc>
      </w:tr>
      <w:tr>
        <w:tblPrEx>
          <w:tblW w:w="0" w:type="auto"/>
          <w:jc w:val="center"/>
          <w:tblCellMar>
            <w:top w:w="0" w:type="dxa"/>
            <w:left w:w="108" w:type="dxa"/>
            <w:bottom w:w="0" w:type="dxa"/>
            <w:right w:w="108" w:type="dxa"/>
          </w:tblCellMar>
          <w:tblLook w:val="0600"/>
        </w:tblPrEx>
        <w:trPr>
          <w:trHeight w:val="829"/>
          <w:jc w:val="center"/>
        </w:trPr>
        <w:tc>
          <w:tcPr>
            <w:tcW w:w="982" w:type="dxa"/>
            <w:vAlign w:val="center"/>
          </w:tcPr>
          <w:p>
            <w:pPr>
              <w:pStyle w:val="Normal4df07cdf-f1b1-4e38-8571-7c5ccbd201ec"/>
              <w:bidi w:val="0"/>
              <w:spacing w:line="320" w:lineRule="auto"/>
              <w:rPr>
                <w:sz w:val="21"/>
                <w:vertAlign w:val="baseline"/>
              </w:rPr>
            </w:pPr>
            <w:r>
              <w:rPr>
                <w:rFonts w:ascii="Times New Roman" w:eastAsia="Times New Roman" w:hAnsi="Times New Roman" w:cs="Times New Roman"/>
                <w:color w:val="000000"/>
                <w:sz w:val="21"/>
                <w:shd w:val="clear" w:color="auto" w:fill="auto"/>
                <w:vertAlign w:val="baseline"/>
              </w:rPr>
              <w:t>C</w:t>
            </w:r>
          </w:p>
        </w:tc>
        <w:tc>
          <w:tcPr>
            <w:tcW w:w="5945" w:type="dxa"/>
            <w:vAlign w:val="center"/>
          </w:tcPr>
          <w:p>
            <w:pPr>
              <w:pStyle w:val="Normal4df07cdf-f1b1-4e38-8571-7c5ccbd201ec"/>
              <w:bidi w:val="0"/>
              <w:spacing w:line="320" w:lineRule="auto"/>
              <w:rPr>
                <w:sz w:val="21"/>
                <w:vertAlign w:val="baseline"/>
              </w:rPr>
            </w:pPr>
            <w:r>
              <w:rPr>
                <w:rFonts w:ascii="宋体" w:eastAsia="宋体" w:hAnsi="宋体" w:cs="宋体"/>
                <w:color w:val="000000"/>
                <w:sz w:val="21"/>
                <w:shd w:val="clear" w:color="auto" w:fill="auto"/>
                <w:vertAlign w:val="baseline"/>
              </w:rPr>
              <w:t>随着气候变暖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冻土融化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导致多年冻土层的厚度变薄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上限降低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对地下水下渗的阻挡作用变弱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从而导致地下水位降低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地下水向地势较低处移动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地下水出露点发生位移</w:t>
            </w:r>
          </w:p>
        </w:tc>
        <w:tc>
          <w:tcPr>
            <w:tcW w:w="792" w:type="dxa"/>
            <w:vAlign w:val="center"/>
          </w:tcPr>
          <w:p>
            <w:pPr>
              <w:pStyle w:val="Normal4df07cdf-f1b1-4e38-8571-7c5ccbd201ec"/>
              <w:bidi w:val="0"/>
              <w:spacing w:line="320" w:lineRule="auto"/>
              <w:rPr>
                <w:rFonts w:eastAsia="宋体" w:hint="default"/>
                <w:sz w:val="21"/>
                <w:vertAlign w:val="baseline"/>
                <w:lang w:val="en-US" w:eastAsia="zh-CN"/>
              </w:rPr>
            </w:pPr>
            <w:r>
              <w:rPr>
                <w:rFonts w:ascii="宋体" w:eastAsia="宋体" w:hAnsi="宋体" w:cs="宋体"/>
                <w:color w:val="000000"/>
                <w:sz w:val="21"/>
                <w:shd w:val="clear" w:color="auto" w:fill="auto"/>
                <w:vertAlign w:val="baseline"/>
              </w:rPr>
              <w:t>正确</w:t>
            </w:r>
          </w:p>
        </w:tc>
      </w:tr>
    </w:tbl>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结合图示信息及所学知识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随着气候变暖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冻土层融化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导致河流两侧山坡的地下水补给量增加</w:t>
      </w:r>
      <w:r>
        <w:rPr>
          <w:rFonts w:ascii="Times New Roman" w:eastAsia="Times New Roman" w:hAnsi="Times New Roman" w:cs="Times New Roman"/>
          <w:color w:val="000000"/>
          <w:sz w:val="21"/>
          <w:shd w:val="clear" w:color="auto" w:fill="auto"/>
          <w:vertAlign w:val="baseline"/>
        </w:rPr>
        <w:t>，CD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随着地下水补给河流的时间变长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径流量增加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河流接受地下水补给的径流量峰值出现推迟</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D</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乙两区</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月处于旱季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蒸发量较大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多年平均土壤含水率较低</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月处于雨季之后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受雨季降水补给较多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多年平均土壤含水率较高</w:t>
      </w:r>
      <w:r>
        <w:rPr>
          <w:rFonts w:ascii="Times New Roman" w:eastAsia="Times New Roman" w:hAnsi="Times New Roman" w:cs="Times New Roman"/>
          <w:color w:val="000000"/>
          <w:sz w:val="21"/>
          <w:shd w:val="clear" w:color="auto" w:fill="auto"/>
          <w:vertAlign w:val="baseline"/>
        </w:rPr>
        <w:t>，BD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21</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夏至日前后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太阳直射北回归线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甲区正午太阳高度为</w:t>
      </w:r>
      <w:r>
        <w:rPr>
          <w:rFonts w:ascii="Times New Roman" w:eastAsia="Times New Roman" w:hAnsi="Times New Roman" w:cs="Times New Roman"/>
          <w:color w:val="000000"/>
          <w:sz w:val="21"/>
          <w:shd w:val="clear" w:color="auto" w:fill="auto"/>
          <w:vertAlign w:val="baseline"/>
        </w:rPr>
        <w:t>85°，</w:t>
      </w:r>
      <w:r>
        <w:rPr>
          <w:rFonts w:ascii="宋体" w:eastAsia="宋体" w:hAnsi="宋体" w:cs="宋体"/>
          <w:color w:val="000000"/>
          <w:sz w:val="21"/>
          <w:shd w:val="clear" w:color="auto" w:fill="auto"/>
          <w:vertAlign w:val="baseline"/>
        </w:rPr>
        <w:t>乙区正午太阳高度为</w:t>
      </w:r>
      <w:r>
        <w:rPr>
          <w:rFonts w:ascii="Times New Roman" w:eastAsia="Times New Roman" w:hAnsi="Times New Roman" w:cs="Times New Roman"/>
          <w:color w:val="000000"/>
          <w:sz w:val="21"/>
          <w:shd w:val="clear" w:color="auto" w:fill="auto"/>
          <w:vertAlign w:val="baseline"/>
        </w:rPr>
        <w:t>75°，</w:t>
      </w:r>
      <w:r>
        <w:rPr>
          <w:rFonts w:ascii="宋体" w:eastAsia="宋体" w:hAnsi="宋体" w:cs="宋体"/>
          <w:color w:val="000000"/>
          <w:sz w:val="21"/>
          <w:shd w:val="clear" w:color="auto" w:fill="auto"/>
          <w:vertAlign w:val="baseline"/>
        </w:rPr>
        <w:t>根据两地纬度差等于两地正午太阳高度差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可以计算出甲区纬度约为</w:t>
      </w:r>
      <w:r>
        <w:rPr>
          <w:rFonts w:ascii="Times New Roman" w:eastAsia="Times New Roman" w:hAnsi="Times New Roman" w:cs="Times New Roman"/>
          <w:color w:val="000000"/>
          <w:sz w:val="21"/>
          <w:shd w:val="clear" w:color="auto" w:fill="auto"/>
          <w:vertAlign w:val="baseline"/>
        </w:rPr>
        <w:t>18.5°N，</w:t>
      </w:r>
      <w:r>
        <w:rPr>
          <w:rFonts w:ascii="宋体" w:eastAsia="宋体" w:hAnsi="宋体" w:cs="宋体"/>
          <w:color w:val="000000"/>
          <w:sz w:val="21"/>
          <w:shd w:val="clear" w:color="auto" w:fill="auto"/>
          <w:vertAlign w:val="baseline"/>
        </w:rPr>
        <w:t>乙区纬度约为</w:t>
      </w:r>
      <w:r>
        <w:rPr>
          <w:rFonts w:ascii="Times New Roman" w:eastAsia="Times New Roman" w:hAnsi="Times New Roman" w:cs="Times New Roman"/>
          <w:color w:val="000000"/>
          <w:sz w:val="21"/>
          <w:shd w:val="clear" w:color="auto" w:fill="auto"/>
          <w:vertAlign w:val="baseline"/>
        </w:rPr>
        <w:t>8.5°N。5</w:t>
      </w:r>
      <w:r>
        <w:rPr>
          <w:rFonts w:ascii="宋体" w:eastAsia="宋体" w:hAnsi="宋体" w:cs="宋体"/>
          <w:color w:val="000000"/>
          <w:sz w:val="21"/>
          <w:shd w:val="clear" w:color="auto" w:fill="auto"/>
          <w:vertAlign w:val="baseline"/>
        </w:rPr>
        <w:t>月太阳直射点位于甲地附近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甲区太阳辐射量更多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多年平均土壤含水率比乙区小</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旱季正午太阳位于两地南方天空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甲乙两区南坡为阳坡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北坡为阴坡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南坡接受太阳辐射量更多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蒸发量更大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多年平均土壤含水率更低</w:t>
      </w:r>
      <w:r>
        <w:rPr>
          <w:rFonts w:ascii="Times New Roman" w:eastAsia="Times New Roman" w:hAnsi="Times New Roman" w:cs="Times New Roman"/>
          <w:color w:val="000000"/>
          <w:sz w:val="21"/>
          <w:shd w:val="clear" w:color="auto" w:fill="auto"/>
          <w:vertAlign w:val="baseline"/>
        </w:rPr>
        <w:t>，AB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结合上题可知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甲区的纬度高于乙区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乙区更接近赤道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因此甲区太阳位于偏南方的时间整体更长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导致甲区南坡和北坡接受太阳辐射量的差异更大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因此甲区旱季土壤含水率的南北坡差异更大</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结合材料及所学知识可知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西高止山脉地处热带季风气候区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雨季时受西南季风影响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山脉西坡为西南季风迎风坡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东坡为背风坡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导致西坡降水显著高于东坡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流水侵蚀和搬运作用更强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细颗粒物质更容易被侵蚀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导致西坡土壤表层物质中粗粒比例增加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西坡土壤表层物质盐分被流水搬运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导致盐分淋失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不会聚集</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西坡降水量较多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流水侵蚀和搬运能力更强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风化碎屑受侵蚀和搬运作用被带走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导致风化碎屑数量减少</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西坡受流水侵蚀作用更强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导致土壤表层养分流失更多</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A</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根据</w:t>
      </w:r>
      <w:r>
        <w:rPr>
          <w:rFonts w:ascii="宋体" w:eastAsia="宋体" w:hAnsi="宋体" w:cs="宋体"/>
          <w:color w:val="000000"/>
          <w:sz w:val="21"/>
          <w:shd w:val="clear" w:color="auto" w:fill="auto"/>
          <w:vertAlign w:val="baseline"/>
        </w:rPr>
        <w:t>材料可知</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河从基岩山地延伸至断陷谷时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通过向上游溯源侵蚀切穿分水岭并继续延伸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河谷中松散物质增多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岩性变软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使得溯源侵蚀速度加快</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河溯源侵蚀切穿分水岭袭夺</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河部分河道后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河水流量应增加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河溯源侵蚀后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河道落差增加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流速加快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搬运能力增强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导致泥沙含量增加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沉积物质减少</w:t>
      </w:r>
      <w:r>
        <w:rPr>
          <w:rFonts w:ascii="Times New Roman" w:eastAsia="Times New Roman" w:hAnsi="Times New Roman" w:cs="Times New Roman"/>
          <w:color w:val="000000"/>
          <w:sz w:val="21"/>
          <w:shd w:val="clear" w:color="auto" w:fill="auto"/>
          <w:vertAlign w:val="baseline"/>
        </w:rPr>
        <w:t>，BD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根据</w:t>
      </w:r>
      <w:r>
        <w:rPr>
          <w:rFonts w:ascii="宋体" w:eastAsia="宋体" w:hAnsi="宋体" w:cs="宋体"/>
          <w:color w:val="000000"/>
          <w:sz w:val="21"/>
          <w:shd w:val="clear" w:color="auto" w:fill="auto"/>
          <w:vertAlign w:val="baseline"/>
        </w:rPr>
        <w:t>材料可知</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河先通过溯源侵蚀切穿分水岭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袭夺</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河下游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 xml:space="preserve"> 2 </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 xml:space="preserve"> P </w:t>
      </w:r>
      <w:r>
        <w:rPr>
          <w:rFonts w:ascii="宋体" w:eastAsia="宋体" w:hAnsi="宋体" w:cs="宋体"/>
          <w:color w:val="000000"/>
          <w:sz w:val="21"/>
          <w:shd w:val="clear" w:color="auto" w:fill="auto"/>
          <w:vertAlign w:val="baseline"/>
        </w:rPr>
        <w:t>河自西向东流</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河袭夺其东侧下游河道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河下游流水注入</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河而断流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之后</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w:t>
      </w:r>
      <w:r>
        <w:rPr>
          <w:rFonts w:ascii="宋体" w:eastAsia="宋体" w:hAnsi="宋体" w:cs="宋体"/>
          <w:color w:val="000000"/>
          <w:sz w:val="21"/>
          <w:shd w:val="clear" w:color="auto" w:fill="auto"/>
          <w:vertAlign w:val="baseline"/>
        </w:rPr>
        <w:t>的</w:t>
      </w:r>
      <w:r>
        <w:rPr>
          <w:rFonts w:ascii="宋体" w:eastAsia="宋体" w:hAnsi="宋体" w:cs="宋体"/>
          <w:color w:val="000000"/>
          <w:sz w:val="21"/>
          <w:shd w:val="clear" w:color="auto" w:fill="auto"/>
          <w:vertAlign w:val="baseline"/>
        </w:rPr>
        <w:t>支流</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河发育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致使</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河上游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西侧河道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改道流入</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河因缺少上游补给最终中游断流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综上所述</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河变化的先后顺序是</w:t>
      </w:r>
      <w:r>
        <w:rPr>
          <w:rFonts w:ascii="Times New Roman" w:eastAsia="Times New Roman" w:hAnsi="Times New Roman" w:cs="Times New Roman"/>
          <w:color w:val="000000"/>
          <w:sz w:val="21"/>
          <w:shd w:val="clear" w:color="auto" w:fill="auto"/>
          <w:vertAlign w:val="baseline"/>
        </w:rPr>
        <w:t>④③①②，B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，ACD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河所在断陷谷海拔</w:t>
      </w:r>
      <w:r>
        <w:rPr>
          <w:rFonts w:ascii="Times New Roman" w:eastAsia="Times New Roman" w:hAnsi="Times New Roman" w:cs="Times New Roman"/>
          <w:color w:val="000000"/>
          <w:sz w:val="21"/>
          <w:shd w:val="clear" w:color="auto" w:fill="auto"/>
          <w:vertAlign w:val="baseline"/>
        </w:rPr>
        <w:t>3470—3650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河自西向东流</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河西侧海拔高于东侧海拔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河谷落差高于</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在断陷谷中</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河道水平长度小于</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（80km），</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河的纵比降大于</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河长度更小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汇水面积较小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流量比</w:t>
      </w:r>
      <w:r>
        <w:rPr>
          <w:rFonts w:ascii="Times New Roman" w:eastAsia="Times New Roman" w:hAnsi="Times New Roman" w:cs="Times New Roman"/>
          <w:color w:val="000000"/>
          <w:sz w:val="21"/>
          <w:shd w:val="clear" w:color="auto" w:fill="auto"/>
          <w:vertAlign w:val="baseline"/>
        </w:rPr>
        <w:t>L</w:t>
      </w:r>
      <w:r>
        <w:rPr>
          <w:rFonts w:ascii="宋体" w:eastAsia="宋体" w:hAnsi="宋体" w:cs="宋体"/>
          <w:color w:val="000000"/>
          <w:sz w:val="21"/>
          <w:shd w:val="clear" w:color="auto" w:fill="auto"/>
          <w:vertAlign w:val="baseline"/>
        </w:rPr>
        <w:t>河小</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；X</w:t>
      </w:r>
      <w:r>
        <w:rPr>
          <w:rFonts w:ascii="宋体" w:eastAsia="宋体" w:hAnsi="宋体" w:cs="宋体"/>
          <w:color w:val="000000"/>
          <w:sz w:val="21"/>
          <w:shd w:val="clear" w:color="auto" w:fill="auto"/>
          <w:vertAlign w:val="baseline"/>
        </w:rPr>
        <w:t>河纵比降大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河流流速快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侵蚀作用更强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沉积物粒径更大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河流阶地面更窄</w:t>
      </w:r>
      <w:r>
        <w:rPr>
          <w:rFonts w:ascii="Times New Roman" w:eastAsia="Times New Roman" w:hAnsi="Times New Roman" w:cs="Times New Roman"/>
          <w:color w:val="000000"/>
          <w:sz w:val="21"/>
          <w:shd w:val="clear" w:color="auto" w:fill="auto"/>
          <w:vertAlign w:val="baseline"/>
        </w:rPr>
        <w:t>，CD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center"/>
        <w:textAlignment w:val="center"/>
        <w:rPr>
          <w:rFonts w:ascii="黑体" w:eastAsia="黑体" w:hAnsi="黑体" w:cs="黑体"/>
          <w:b/>
          <w:i w:val="0"/>
          <w:color w:val="000000"/>
          <w:sz w:val="30"/>
        </w:rPr>
      </w:pP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长丰县南部靠近合肥市辖区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地理位置优越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便于承接合肥的产业转移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人才流动和基础设施辐射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南部交通等基础设施更完善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北部距合肥远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初期工业基础弱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工业发展条件差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因此优先发展南部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先南后北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非均衡发展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战略</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产业类型从传统产业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汽配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食品加工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向高端制造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新能源汽车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智慧产业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智能家居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生物医药等新兴产业转变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产业集群数量增加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产业布局范围扩大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从南部扩展至北部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产业不断升级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产业附加值提升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技术含量提高</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智慧农业谷位于长丰县北部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推动北部农业现代化发展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缩小南北产业发展差距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吸引资源向北部集聚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带动北部基础设施建设和人口集聚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促进城乡空间均衡布局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北部以农业现代化为特色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与南部工业集群互补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优化县域产业空间结构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推动空间均衡发展</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长丰县确定</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工业立县</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目标后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实施</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先南后北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非均衡发展</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战略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因其南部紧邻合肥市辖区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在承接合肥产业转移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吸引人才及共享交通等基础设施方面优势显著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而北部距合肥较远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初期工业基础薄弱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故优先依托南部区位优势借助合肥经济资源带动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快速积累发展基础</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根据材料信息</w:t>
      </w:r>
      <w:r>
        <w:rPr>
          <w:rFonts w:ascii="Times New Roman" w:eastAsia="Times New Roman" w:hAnsi="Times New Roman" w:cs="Times New Roman"/>
          <w:color w:val="000000"/>
          <w:sz w:val="21"/>
          <w:shd w:val="clear" w:color="auto" w:fill="auto"/>
          <w:vertAlign w:val="baseline"/>
        </w:rPr>
        <w:t>“2007</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长丰县岗集园区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双凤经济开发区初步形成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逐步构建城乡空间均衡发展格局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，2007</w:t>
      </w:r>
      <w:r>
        <w:rPr>
          <w:rFonts w:ascii="宋体" w:eastAsia="宋体" w:hAnsi="宋体" w:cs="宋体"/>
          <w:color w:val="000000"/>
          <w:sz w:val="21"/>
          <w:shd w:val="clear" w:color="auto" w:fill="auto"/>
          <w:vertAlign w:val="baseline"/>
        </w:rPr>
        <w:t>年以汽配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食品加工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建材等传统产业为主</w:t>
      </w:r>
      <w:r>
        <w:rPr>
          <w:rFonts w:ascii="Times New Roman" w:eastAsia="Times New Roman" w:hAnsi="Times New Roman" w:cs="Times New Roman"/>
          <w:color w:val="000000"/>
          <w:sz w:val="21"/>
          <w:shd w:val="clear" w:color="auto" w:fill="auto"/>
          <w:vertAlign w:val="baseline"/>
        </w:rPr>
        <w:t>；2024</w:t>
      </w:r>
      <w:r>
        <w:rPr>
          <w:rFonts w:ascii="宋体" w:eastAsia="宋体" w:hAnsi="宋体" w:cs="宋体"/>
          <w:color w:val="000000"/>
          <w:sz w:val="21"/>
          <w:shd w:val="clear" w:color="auto" w:fill="auto"/>
          <w:vertAlign w:val="baseline"/>
        </w:rPr>
        <w:t>年发展新能源和智能网联汽车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智能家居家电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生物医药等新兴产业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产业从传统向高端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绿色转型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岗集园区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双凤经济开发区初步形成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一区六园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产业集群数量增多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布局范围扩展至更多区域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根据图上信息新能源汽车产业集群产值超千亿可知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新兴产业技术含量高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附加值高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体现产业层次从低到高的变化</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位于北部的智慧农业谷通过推进草莓全产业链等农业现代化进程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提升北部产业能级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缩小南北发展差距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其带动交通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物流等基础设施建设与人口集聚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促进城乡空间均衡布局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农业现代化</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为特色与南部</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新能源汽车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智能家居</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等工业集群形成</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南工北农</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互补格局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优化县域产业空间结构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推动整体均衡发展</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甲海域降水总量大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降水日变化幅度大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降水频次高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多连续性降水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降水峰值出现时间早且峰值高</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南海夏季风爆发后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来自低纬海洋的西南夏季风携带大量水汽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在甲海域受地形抬升易形成降水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甲海域周边地区盛行偏南气流与偏东气流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气流在甲海域汇合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形成辐合上升气流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促使水汽凝结成云致雨</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降水差异方面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乙海域降水较少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光照充足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利于浮游植物进行光合作用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生产更多的有机物质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为鱼类提供丰富的饵料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晴天多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表层海水温度较高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盐度较高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适合大洋鱼类生存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夏季风影响方面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夏季风在乙海域形成离岸风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导致海水离岸流动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深层海水上泛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将海底的营养盐类带到表层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促进浮游生物生长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为鱼类提供充足食物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夏季风使海水流动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有利于改善海域水质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增加水中溶氧量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适宜鱼类聚集</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南海夏季风爆发后</w:t>
      </w:r>
      <w:r>
        <w:rPr>
          <w:rFonts w:ascii="Times New Roman" w:eastAsia="Times New Roman" w:hAnsi="Times New Roman" w:cs="Times New Roman"/>
          <w:color w:val="000000"/>
          <w:sz w:val="21"/>
          <w:shd w:val="clear" w:color="auto" w:fill="auto"/>
          <w:vertAlign w:val="baseline"/>
        </w:rPr>
        <w:t xml:space="preserve"> 20 </w:t>
      </w:r>
      <w:r>
        <w:rPr>
          <w:rFonts w:ascii="宋体" w:eastAsia="宋体" w:hAnsi="宋体" w:cs="宋体"/>
          <w:color w:val="000000"/>
          <w:sz w:val="21"/>
          <w:shd w:val="clear" w:color="auto" w:fill="auto"/>
          <w:vertAlign w:val="baseline"/>
        </w:rPr>
        <w:t>天内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甲海域降水量曲线波动显著且整体数值高于乙海域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呈现降水总量大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日变化幅度大的特点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其降水曲线持续处于高位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说明降水频次高且多连续性降水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甲海域降水峰值在第</w:t>
      </w:r>
      <w:r>
        <w:rPr>
          <w:rFonts w:ascii="Times New Roman" w:eastAsia="Times New Roman" w:hAnsi="Times New Roman" w:cs="Times New Roman"/>
          <w:color w:val="000000"/>
          <w:sz w:val="21"/>
          <w:shd w:val="clear" w:color="auto" w:fill="auto"/>
          <w:vertAlign w:val="baseline"/>
        </w:rPr>
        <w:t xml:space="preserve"> 4-5 </w:t>
      </w:r>
      <w:r>
        <w:rPr>
          <w:rFonts w:ascii="宋体" w:eastAsia="宋体" w:hAnsi="宋体" w:cs="宋体"/>
          <w:color w:val="000000"/>
          <w:sz w:val="21"/>
          <w:shd w:val="clear" w:color="auto" w:fill="auto"/>
          <w:vertAlign w:val="baseline"/>
        </w:rPr>
        <w:t>天出现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较乙海域更早且峰值数值更高</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甲海域强降水的成因主要可以从大气环流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海陆位置等方面分析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大气环流方面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南海夏季风爆发后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低纬海洋的西南夏季风带来充足水汽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同时甲海域周边偏南气流与偏东气流汇合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形成强烈辐合上升气流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促使水汽抬升凝结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海陆位置上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甲海域靠近陆地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地形抬升作用显著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进一步加剧水汽冷却凝结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形成降水</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海域大洋鱼类聚集条件的形成原因从降水差异和夏季风影响方面分析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降水差异上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乙海域降水少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晴天多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光照充足利于浮游植物光合作用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为鱼类提供丰富食物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晴天多使表层海水温度和盐度适宜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适合鱼类聚集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夏季风影响方面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离岸风推动表层海水离岸流动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深层海水上升形成上升流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将海底营养盐类带至表层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促进浮游生物繁殖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提供充足饵料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同时夏季风增强海水交换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改善水质并增加溶氧量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营造良好生存环境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吸引鱼类聚集</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武昌组团作为武汉中心城区组团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土地利用呈现出以商业和居住用地为主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土地利用强度大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土地利用混合程度高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城市功能分区相对模糊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土地价格高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开发成本大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公共服务设施用地占比较大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基础设施更为完善等特点</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武汉新城组团位于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武鄂黄黄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区域的中心地带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这一地理位置为其人口集聚带来了显著优势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首先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其交通便利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多条高速公路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铁路和水运线路交汇于此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使得人员流动更加便捷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作为光电子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新材料等产业的集聚区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武汉新城组团提供了丰富的就业机会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吸引了大量劳动力前来就业和生活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其良好的城市环境和配套设施也进一步促进了人口的集聚</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高速公路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通过建设和完善高速公路网络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实现与武汉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鄂州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黄石和黄冈等城市的快速连接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促进人员和物资的流通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利用现有的铁路资源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加强与其他城市的铁路交通联系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提高运输效率和便捷性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依托长江黄金水道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发展水运交通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加强与武汉等城市的水上联系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降低物流成本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公共交通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优化公共交通系统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提高区域内公共交通的覆盖率和便捷性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方便居民出行和交流</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武昌组团作为武汉中心城区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人口密度大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房价高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土地利用以商业和居住为主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因大量人口与产业集聚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土地利用强度大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且功能复杂多样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混合程度高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同时土地价格高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开发成本大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公共服务设施用地占比大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基础设施完善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与武汉新城组团差异显著</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武汉新城组团位于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武鄂黄黄</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区域中心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借助高铁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城际铁路等可快速连接武昌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鄂州等地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便于人员物资流通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随着武汉中心城区产业升级和空间优化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其能承接疏解人口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且光电子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新材料等产业初具规模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可为外围组团人口提供就业机会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作为区域中心获政策与资源倾斜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完善的基础设施和公共服务吸引人口集聚</w:t>
      </w:r>
      <w:r>
        <w:rPr>
          <w:rFonts w:ascii="Times New Roman" w:eastAsia="Times New Roman" w:hAnsi="Times New Roman" w:cs="Times New Roman"/>
          <w:color w:val="000000"/>
          <w:sz w:val="21"/>
          <w:shd w:val="clear" w:color="auto" w:fill="auto"/>
          <w:vertAlign w:val="baseline"/>
        </w:rPr>
        <w:t>。</w:t>
      </w:r>
      <w:bookmarkStart w:id="0" w:name="_GoBack"/>
      <w:bookmarkEnd w:id="0"/>
    </w:p>
    <w:p>
      <w:pPr>
        <w:pStyle w:val="Normal4df07cdf-f1b1-4e38-8571-7c5ccbd201e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公路运输具有灵活性强的特点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完善公路网络能加强黄石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大冶组团与其他组团的日常联系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促进人员和物资的流通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满足多样化的运输需求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为产业协作提供便利</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宋体" w:eastAsia="宋体" w:hAnsi="宋体" w:cs="宋体"/>
          <w:color w:val="000000"/>
          <w:sz w:val="21"/>
          <w:shd w:val="clear" w:color="auto" w:fill="auto"/>
          <w:vertAlign w:val="baseline"/>
        </w:rPr>
        <w:t>铁路运输运量大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成本相对较低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增加班次和推动高铁建设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能在客运上促进人员流动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加强区域间交流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提高运输的便捷性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在货运上满足产业发展的物资运输需求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提高运输效率</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宋体" w:eastAsia="宋体" w:hAnsi="宋体" w:cs="宋体"/>
          <w:color w:val="000000"/>
          <w:sz w:val="21"/>
          <w:shd w:val="clear" w:color="auto" w:fill="auto"/>
          <w:vertAlign w:val="baseline"/>
        </w:rPr>
        <w:t>黄石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大冶组团临江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水路运输是其独特优势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利用长江水道发展内河航运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能发挥水运运量大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成本低的特点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加强与武汉等城市的水上联系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实现资源和产品的跨区域调配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促进与其他沿江城市组团的产业互补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更好地融入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武鄂黄黄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关联网络</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r>
        <w:rPr>
          <w:rFonts w:ascii="宋体" w:eastAsia="宋体" w:hAnsi="宋体" w:cs="宋体"/>
          <w:color w:val="000000"/>
          <w:sz w:val="21"/>
          <w:shd w:val="clear" w:color="auto" w:fill="auto"/>
          <w:vertAlign w:val="baseline"/>
        </w:rPr>
        <w:t>发展城际公交或快速路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优化公共交通系统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提高区域内公共交通的覆盖率和便捷性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加强日常人口流动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方便居民出行和交流</w:t>
      </w:r>
      <w:r>
        <w:rPr>
          <w:rFonts w:ascii="Times New Roman" w:eastAsia="Times New Roman" w:hAnsi="Times New Roman" w:cs="Times New Roman"/>
          <w:color w:val="000000"/>
          <w:sz w:val="21"/>
          <w:shd w:val="clear" w:color="auto" w:fill="auto"/>
          <w:vertAlign w:val="baseline"/>
        </w:rPr>
        <w:t>。</w:t>
      </w:r>
    </w:p>
    <w:p>
      <w:pPr>
        <w:pStyle w:val="Normal4df07cdf-f1b1-4e38-8571-7c5ccbd201ec"/>
        <w:spacing w:line="320" w:lineRule="auto"/>
        <w:jc w:val="left"/>
        <w:textAlignment w:val="center"/>
        <w:rPr>
          <w:sz w:val="21"/>
        </w:rPr>
      </w:pPr>
    </w:p>
    <w:sectPr>
      <w:headerReference w:type="even" r:id="rId12"/>
      <w:headerReference w:type="default" r:id="rId13"/>
      <w:footerReference w:type="even" r:id="rId14"/>
      <w:footerReference w:type="default" r:id="rId15"/>
      <w:headerReference w:type="first" r:id="rId16"/>
      <w:pgSz w:w="11900" w:h="16840" w:orient="portrait"/>
      <w:pgMar w:top="1000" w:right="1800" w:bottom="1200" w:left="1800"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4df07cdf-f1b1-4e38-8571-7c5ccbd201ec">
    <w:name w:val="Normal_4df07cdf-f1b1-4e38-8571-7c5ccbd201ec"/>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784e990c-c16c-4ffb-be50-cf9c98717f54">
    <w:name w:val="subTitleStyle_784e990c-c16c-4ffb-be50-cf9c98717f54"/>
    <w:basedOn w:val="Normal4df07cdf-f1b1-4e38-8571-7c5ccbd201ec"/>
    <w:qFormat/>
    <w:rPr>
      <w:rFonts w:ascii="宋体" w:eastAsia="宋体" w:hAnsi="宋体" w:cs="宋体"/>
      <w:b/>
      <w:color w:val="000000"/>
      <w:sz w:val="32"/>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header" Target="header1.xml" /><Relationship Id="rId13" Type="http://schemas.openxmlformats.org/officeDocument/2006/relationships/header" Target="header2.xm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header" Target="header3.xml" /><Relationship Id="rId17" Type="http://schemas.openxmlformats.org/officeDocument/2006/relationships/theme" Target="theme/theme1.xml" /><Relationship Id="rId18"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2025-06-11T09:42:00Z</dcterms:created>
  <dcterms:modified xsi:type="dcterms:W3CDTF">2025-06-11T09:42:00Z</dcterms:modified>
  <cp:category>试题</cp:category>
</cp:coreProperties>
</file>