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pStyle w:val="subTitleStyle"/>
        <w:spacing w:after="100" w:afterAutospacing="0"/>
        <w:jc w:val="center"/>
      </w:pPr>
      <w:r>
        <w:t>2025年普通高中学业水平选择性考试（湖南卷）地理试题（解析版）</w:t>
      </w:r>
    </w:p>
    <w:p>
      <w:pPr>
        <w:pStyle w:val="Normal4e71f288-79bc-4f47-8ec5-b2d8e6f416c3"/>
      </w:pPr>
    </w:p>
    <w:p>
      <w:pPr>
        <w:pStyle w:val="paraStyle"/>
        <w:spacing w:before="200" w:beforeAutospacing="0" w:after="200" w:afterAutospacing="0"/>
      </w:pPr>
      <w:r>
        <w:t>一、单选题</w:t>
      </w:r>
    </w:p>
    <w:p>
      <w:pPr>
        <w:pStyle w:val="Normal4e71f288-79bc-4f47-8ec5-b2d8e6f416c3"/>
        <w:numPr>
          <w:ilvl w:val="0"/>
          <w:numId w:val="0"/>
        </w:numPr>
        <w:spacing w:line="320" w:lineRule="auto"/>
        <w:ind w:firstLine="560"/>
        <w:jc w:val="left"/>
        <w:textAlignment w:val="center"/>
      </w:pPr>
      <w:r>
        <w:rPr>
          <w:rFonts w:ascii="Times New Roman" w:eastAsia="Times New Roman" w:hAnsi="Times New Roman" w:cs="Times New Roman"/>
          <w:color w:val="000000"/>
          <w:sz w:val="21"/>
          <w:shd w:val="clear" w:color="auto" w:fill="auto"/>
          <w:vertAlign w:val="baseline"/>
        </w:rPr>
        <w:t>20</w:t>
      </w:r>
      <w:r>
        <w:rPr>
          <w:rFonts w:ascii="楷体" w:eastAsia="楷体" w:hAnsi="楷体" w:cs="楷体"/>
          <w:color w:val="000000"/>
          <w:sz w:val="21"/>
          <w:shd w:val="clear" w:color="auto" w:fill="auto"/>
          <w:vertAlign w:val="baseline"/>
        </w:rPr>
        <w:t>世纪</w:t>
      </w:r>
      <w:r>
        <w:rPr>
          <w:rFonts w:ascii="Times New Roman" w:eastAsia="Times New Roman" w:hAnsi="Times New Roman" w:cs="Times New Roman"/>
          <w:color w:val="000000"/>
          <w:sz w:val="21"/>
          <w:shd w:val="clear" w:color="auto" w:fill="auto"/>
          <w:vertAlign w:val="baseline"/>
        </w:rPr>
        <w:t>90</w:t>
      </w:r>
      <w:r>
        <w:rPr>
          <w:rFonts w:ascii="楷体" w:eastAsia="楷体" w:hAnsi="楷体" w:cs="楷体"/>
          <w:color w:val="000000"/>
          <w:sz w:val="21"/>
          <w:shd w:val="clear" w:color="auto" w:fill="auto"/>
          <w:vertAlign w:val="baseline"/>
        </w:rPr>
        <w:t>年代至</w:t>
      </w:r>
      <w:r>
        <w:rPr>
          <w:rFonts w:ascii="Times New Roman" w:eastAsia="Times New Roman" w:hAnsi="Times New Roman" w:cs="Times New Roman"/>
          <w:color w:val="000000"/>
          <w:sz w:val="21"/>
          <w:shd w:val="clear" w:color="auto" w:fill="auto"/>
          <w:vertAlign w:val="baseline"/>
        </w:rPr>
        <w:t>21</w:t>
      </w:r>
      <w:r>
        <w:rPr>
          <w:rFonts w:ascii="楷体" w:eastAsia="楷体" w:hAnsi="楷体" w:cs="楷体"/>
          <w:color w:val="000000"/>
          <w:sz w:val="21"/>
          <w:shd w:val="clear" w:color="auto" w:fill="auto"/>
          <w:vertAlign w:val="baseline"/>
        </w:rPr>
        <w:t>世纪初</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爱尔兰从欧盟经济落后国家发展成为富裕的成员国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其经济增长的很大一部分得益于金融服务业的发展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银行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保险等大量金融机构集中在首都都柏林</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有些银行将集中服务中心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呼叫中心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信用卡中心等</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分散到都柏林地区的小城镇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与伦敦相比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都柏林发展国际金融服务业的优势是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雄厚的经济基础</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发达的科学技术</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较低的行业薪酬</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高素质专业人才</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集中服务中心的分散主要依赖</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客户需求</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信息和通讯技术</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产业基础</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办公和居住环境</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该时期金融服务业对爱尔兰经济发展的影响有</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提升其在欧盟的经济地位</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导致都柏林办公场地租金整体下降</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促进国内经济的均衡发展</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扩大都柏林与国内其他地区的差距</w:t>
      </w:r>
    </w:p>
    <w:p>
      <w:pPr>
        <w:pStyle w:val="Normal4e71f288-79bc-4f47-8ec5-b2d8e6f416c3"/>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A．①③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B．②④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C．①④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D．②③</w:t>
      </w:r>
    </w:p>
    <w:p>
      <w:pPr>
        <w:pStyle w:val="Normal4e71f288-79bc-4f47-8ec5-b2d8e6f416c3"/>
        <w:tabs>
          <w:tab w:val="left" w:pos="2078"/>
          <w:tab w:val="left" w:pos="4156"/>
          <w:tab w:val="left" w:pos="6234"/>
        </w:tabs>
        <w:spacing w:line="320" w:lineRule="auto"/>
        <w:ind w:left="300"/>
        <w:jc w:val="left"/>
        <w:textAlignment w:val="center"/>
        <w:rPr>
          <w:sz w:val="21"/>
        </w:rPr>
      </w:pPr>
    </w:p>
    <w:p>
      <w:pPr>
        <w:pStyle w:val="Normal4e71f288-79bc-4f47-8ec5-b2d8e6f416c3"/>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近年来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广州市南沙区的法人单位数量占全市比重位次上升</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预测广州市未来人口分布将从主城区向南沙区扩张</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下图示意广州市各区间人口规模占比</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28875" cy="1428750"/>
            <wp:effectExtent l="0" t="0" r="9525" b="0"/>
            <wp:docPr id="2" name="_x0000_i102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_i1026" descr="@@@fe525d71aff94c06a562d7ce14cf6057"/>
                    <pic:cNvPicPr>
                      <a:picLocks noChangeAspect="1"/>
                    </pic:cNvPicPr>
                  </pic:nvPicPr>
                  <pic:blipFill>
                    <a:blip xmlns:r="http://schemas.openxmlformats.org/officeDocument/2006/relationships" r:embed="rId4"/>
                    <a:stretch>
                      <a:fillRect/>
                    </a:stretch>
                  </pic:blipFill>
                  <pic:spPr>
                    <a:xfrm>
                      <a:off x="0" y="0"/>
                      <a:ext cx="2428875" cy="1428750"/>
                    </a:xfrm>
                    <a:prstGeom prst="rect">
                      <a:avLst/>
                    </a:prstGeom>
                  </pic:spPr>
                </pic:pic>
              </a:graphicData>
            </a:graphic>
          </wp:inline>
        </w:drawing>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有关广州市人口分布说法正确的是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A．Ⅱ</w:t>
      </w:r>
      <w:r>
        <w:rPr>
          <w:rFonts w:ascii="宋体" w:eastAsia="宋体" w:hAnsi="宋体" w:cs="宋体"/>
          <w:color w:val="000000"/>
          <w:sz w:val="21"/>
          <w:shd w:val="clear" w:color="auto" w:fill="auto"/>
          <w:vertAlign w:val="baseline"/>
        </w:rPr>
        <w:t>区间比</w:t>
      </w:r>
      <w:r>
        <w:rPr>
          <w:rFonts w:ascii="Times New Roman" w:eastAsia="Times New Roman" w:hAnsi="Times New Roman" w:cs="Times New Roman"/>
          <w:color w:val="000000"/>
          <w:sz w:val="21"/>
          <w:shd w:val="clear" w:color="auto" w:fill="auto"/>
          <w:vertAlign w:val="baseline"/>
        </w:rPr>
        <w:t>Ⅳ</w:t>
      </w:r>
      <w:r>
        <w:rPr>
          <w:rFonts w:ascii="宋体" w:eastAsia="宋体" w:hAnsi="宋体" w:cs="宋体"/>
          <w:color w:val="000000"/>
          <w:sz w:val="21"/>
          <w:shd w:val="clear" w:color="auto" w:fill="auto"/>
          <w:vertAlign w:val="baseline"/>
        </w:rPr>
        <w:t>区间人口规模大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B．Ⅳ</w:t>
      </w:r>
      <w:r>
        <w:rPr>
          <w:rFonts w:ascii="宋体" w:eastAsia="宋体" w:hAnsi="宋体" w:cs="宋体"/>
          <w:color w:val="000000"/>
          <w:sz w:val="21"/>
          <w:shd w:val="clear" w:color="auto" w:fill="auto"/>
          <w:vertAlign w:val="baseline"/>
        </w:rPr>
        <w:t>区间的人口数量最多</w:t>
      </w:r>
    </w:p>
    <w:p>
      <w:pPr>
        <w:pStyle w:val="Normal4e71f288-79bc-4f47-8ec5-b2d8e6f416c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C．Ⅵ</w:t>
      </w:r>
      <w:r>
        <w:rPr>
          <w:rFonts w:ascii="宋体" w:eastAsia="宋体" w:hAnsi="宋体" w:cs="宋体"/>
          <w:color w:val="000000"/>
          <w:sz w:val="21"/>
          <w:shd w:val="clear" w:color="auto" w:fill="auto"/>
          <w:vertAlign w:val="baseline"/>
        </w:rPr>
        <w:t>区间人口数量比重约</w:t>
      </w:r>
      <w:r>
        <w:rPr>
          <w:rFonts w:ascii="Times New Roman" w:eastAsia="Times New Roman" w:hAnsi="Times New Roman" w:cs="Times New Roman"/>
          <w:color w:val="000000"/>
          <w:sz w:val="21"/>
          <w:shd w:val="clear" w:color="auto" w:fill="auto"/>
          <w:vertAlign w:val="baseline"/>
        </w:rPr>
        <w:t>9%</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D．VII</w:t>
      </w:r>
      <w:r>
        <w:rPr>
          <w:rFonts w:ascii="宋体" w:eastAsia="宋体" w:hAnsi="宋体" w:cs="宋体"/>
          <w:color w:val="000000"/>
          <w:sz w:val="21"/>
          <w:shd w:val="clear" w:color="auto" w:fill="auto"/>
          <w:vertAlign w:val="baseline"/>
        </w:rPr>
        <w:t>区间比</w:t>
      </w:r>
      <w:r>
        <w:rPr>
          <w:rFonts w:ascii="Times New Roman" w:eastAsia="Times New Roman" w:hAnsi="Times New Roman" w:cs="Times New Roman"/>
          <w:color w:val="000000"/>
          <w:sz w:val="21"/>
          <w:shd w:val="clear" w:color="auto" w:fill="auto"/>
          <w:vertAlign w:val="baseline"/>
        </w:rPr>
        <w:t>V</w:t>
      </w:r>
      <w:r>
        <w:rPr>
          <w:rFonts w:ascii="宋体" w:eastAsia="宋体" w:hAnsi="宋体" w:cs="宋体"/>
          <w:color w:val="000000"/>
          <w:sz w:val="21"/>
          <w:shd w:val="clear" w:color="auto" w:fill="auto"/>
          <w:vertAlign w:val="baseline"/>
        </w:rPr>
        <w:t>区间人口规模大</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影响广州市未来人口分布向南沙区扩张的主要因素是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就业承载</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通勤时间</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医疗卫生</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文化教育</w:t>
      </w:r>
    </w:p>
    <w:p>
      <w:pPr>
        <w:pStyle w:val="Normal4e71f288-79bc-4f47-8ec5-b2d8e6f416c3"/>
        <w:tabs>
          <w:tab w:val="left" w:pos="2078"/>
          <w:tab w:val="left" w:pos="4156"/>
          <w:tab w:val="left" w:pos="6234"/>
        </w:tabs>
        <w:spacing w:line="320" w:lineRule="auto"/>
        <w:ind w:left="300"/>
        <w:jc w:val="left"/>
        <w:textAlignment w:val="center"/>
        <w:rPr>
          <w:sz w:val="21"/>
        </w:rPr>
      </w:pPr>
    </w:p>
    <w:p>
      <w:pPr>
        <w:pStyle w:val="Normal4e71f288-79bc-4f47-8ec5-b2d8e6f416c3"/>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浙江省楠溪江流域的屿北村坐落在山麓河谷地带</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在由南向北发展的过程中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该传统村落逐渐形成了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小型房屋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中型院落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房族大院</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族群单元</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个层级的院落空间形态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宗祠具有同族人共同祭祀祖先的功能</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通常坐落在村落中心位置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下图示意屿北村空间形态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05025" cy="1247775"/>
            <wp:effectExtent l="0" t="0" r="9525" b="9525"/>
            <wp:docPr id="3" name="_x0000_i1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_i1027" descr="@@@7235ab8e7c66451b957791fa4ab47fd2"/>
                    <pic:cNvPicPr>
                      <a:picLocks noChangeAspect="1"/>
                    </pic:cNvPicPr>
                  </pic:nvPicPr>
                  <pic:blipFill>
                    <a:blip xmlns:r="http://schemas.openxmlformats.org/officeDocument/2006/relationships" r:embed="rId5"/>
                    <a:stretch>
                      <a:fillRect/>
                    </a:stretch>
                  </pic:blipFill>
                  <pic:spPr>
                    <a:xfrm>
                      <a:off x="0" y="0"/>
                      <a:ext cx="2105025" cy="1247775"/>
                    </a:xfrm>
                    <a:prstGeom prst="rect">
                      <a:avLst/>
                    </a:prstGeom>
                  </pic:spPr>
                </pic:pic>
              </a:graphicData>
            </a:graphic>
          </wp:inline>
        </w:drawing>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与该村落空间形态特征最符合的是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153795"/>
            <wp:effectExtent l="0" t="0" r="635" b="8255"/>
            <wp:docPr id="4" name="_x0000_i10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_i1028" descr="@@@334dcd9849b44ba186af92df660bd768"/>
                    <pic:cNvPicPr>
                      <a:picLocks noChangeAspect="1"/>
                    </pic:cNvPicPr>
                  </pic:nvPicPr>
                  <pic:blipFill>
                    <a:blip xmlns:r="http://schemas.openxmlformats.org/officeDocument/2006/relationships" r:embed="rId6"/>
                    <a:stretch>
                      <a:fillRect/>
                    </a:stretch>
                  </pic:blipFill>
                  <pic:spPr>
                    <a:xfrm>
                      <a:off x="0" y="0"/>
                      <a:ext cx="5276800" cy="1154300"/>
                    </a:xfrm>
                    <a:prstGeom prst="rect">
                      <a:avLst/>
                    </a:prstGeom>
                  </pic:spPr>
                </pic:pic>
              </a:graphicData>
            </a:graphic>
          </wp:inline>
        </w:drawing>
      </w:r>
    </w:p>
    <w:p>
      <w:pPr>
        <w:pStyle w:val="Normal4e71f288-79bc-4f47-8ec5-b2d8e6f416c3"/>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D．④</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该村院落空间形态层级形成的主要原因是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适应地理环境</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家族繁衍发展</w:t>
      </w:r>
    </w:p>
    <w:p>
      <w:pPr>
        <w:pStyle w:val="Normal4e71f288-79bc-4f47-8ec5-b2d8e6f416c3"/>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道路交通演变</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居住条件改善</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该村宗祠未处于村落中心的主要原因是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村落发展</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聚落布局</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街巷格局</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风俗习惯</w:t>
      </w:r>
    </w:p>
    <w:p>
      <w:pPr>
        <w:pStyle w:val="Normal4e71f288-79bc-4f47-8ec5-b2d8e6f416c3"/>
        <w:tabs>
          <w:tab w:val="left" w:pos="2078"/>
          <w:tab w:val="left" w:pos="4156"/>
          <w:tab w:val="left" w:pos="6234"/>
        </w:tabs>
        <w:spacing w:line="320" w:lineRule="auto"/>
        <w:ind w:left="300"/>
        <w:jc w:val="left"/>
        <w:textAlignment w:val="center"/>
        <w:rPr>
          <w:sz w:val="21"/>
        </w:rPr>
      </w:pPr>
    </w:p>
    <w:p>
      <w:pPr>
        <w:pStyle w:val="Normal4e71f288-79bc-4f47-8ec5-b2d8e6f416c3"/>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塞尔韦拉河是西班牙东部的季节性河流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全长</w:t>
      </w:r>
      <w:r>
        <w:rPr>
          <w:rFonts w:ascii="Times New Roman" w:eastAsia="Times New Roman" w:hAnsi="Times New Roman" w:cs="Times New Roman"/>
          <w:color w:val="000000"/>
          <w:sz w:val="21"/>
          <w:shd w:val="clear" w:color="auto" w:fill="auto"/>
          <w:vertAlign w:val="baseline"/>
        </w:rPr>
        <w:t>44</w:t>
      </w:r>
      <w:r>
        <w:rPr>
          <w:rFonts w:ascii="楷体" w:eastAsia="楷体" w:hAnsi="楷体" w:cs="楷体"/>
          <w:color w:val="000000"/>
          <w:sz w:val="21"/>
          <w:shd w:val="clear" w:color="auto" w:fill="auto"/>
          <w:vertAlign w:val="baseline"/>
        </w:rPr>
        <w:t>千米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中下游流经三个地质构造单元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下游河道因过去开采砂砾破坏严重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后来政府对开采行为进行了限制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河道缓慢恢复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下图示意该河流中下游甲</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乙</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丙三个河段的河道形态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67125" cy="1495425"/>
            <wp:effectExtent l="0" t="0" r="9525" b="9525"/>
            <wp:docPr id="5" name="_x0000_i1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i1029" descr="@@@770cdb1a360c4ba28c27b24caf3189bd"/>
                    <pic:cNvPicPr>
                      <a:picLocks noChangeAspect="1"/>
                    </pic:cNvPicPr>
                  </pic:nvPicPr>
                  <pic:blipFill>
                    <a:blip xmlns:r="http://schemas.openxmlformats.org/officeDocument/2006/relationships" r:embed="rId7"/>
                    <a:stretch>
                      <a:fillRect/>
                    </a:stretch>
                  </pic:blipFill>
                  <pic:spPr>
                    <a:xfrm>
                      <a:off x="0" y="0"/>
                      <a:ext cx="3667125" cy="1495425"/>
                    </a:xfrm>
                    <a:prstGeom prst="rect">
                      <a:avLst/>
                    </a:prstGeom>
                  </pic:spPr>
                </pic:pic>
              </a:graphicData>
            </a:graphic>
          </wp:inline>
        </w:drawing>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大量开采砂砾会导致丙河段</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河道拓宽</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流量增大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河床下降</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水位上升</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该河流水动力最弱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沉积恢复最慢的季节是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春季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夏季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秋季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冬季</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为了促进丙河段的河道沉积恢复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下列措施合理的是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甲河段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植树造林</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甲河段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冲淤排沙</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乙河段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裁弯取直</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丙河段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人工补沙</w:t>
      </w:r>
    </w:p>
    <w:p>
      <w:pPr>
        <w:pStyle w:val="Normal4e71f288-79bc-4f47-8ec5-b2d8e6f416c3"/>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A．①③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B．②④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C．①④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D．②③</w:t>
      </w:r>
    </w:p>
    <w:p>
      <w:pPr>
        <w:pStyle w:val="Normal4e71f288-79bc-4f47-8ec5-b2d8e6f416c3"/>
        <w:tabs>
          <w:tab w:val="left" w:pos="2078"/>
          <w:tab w:val="left" w:pos="4156"/>
          <w:tab w:val="left" w:pos="6234"/>
        </w:tabs>
        <w:spacing w:line="320" w:lineRule="auto"/>
        <w:ind w:left="380"/>
        <w:jc w:val="left"/>
        <w:textAlignment w:val="center"/>
        <w:rPr>
          <w:sz w:val="21"/>
        </w:rPr>
      </w:pPr>
    </w:p>
    <w:p>
      <w:pPr>
        <w:pStyle w:val="Normal4e71f288-79bc-4f47-8ec5-b2d8e6f416c3"/>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高寒荒漠是祁连山垂直带谱的组成部分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对气温变化响应敏感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祁连山冷龙岭海拔</w:t>
      </w:r>
      <w:r>
        <w:rPr>
          <w:rFonts w:ascii="Times New Roman" w:eastAsia="Times New Roman" w:hAnsi="Times New Roman" w:cs="Times New Roman"/>
          <w:color w:val="000000"/>
          <w:sz w:val="21"/>
          <w:shd w:val="clear" w:color="auto" w:fill="auto"/>
          <w:vertAlign w:val="baseline"/>
        </w:rPr>
        <w:t>3300-4400</w:t>
      </w:r>
      <w:r>
        <w:rPr>
          <w:rFonts w:ascii="楷体" w:eastAsia="楷体" w:hAnsi="楷体" w:cs="楷体"/>
          <w:color w:val="000000"/>
          <w:sz w:val="21"/>
          <w:shd w:val="clear" w:color="auto" w:fill="auto"/>
          <w:vertAlign w:val="baseline"/>
        </w:rPr>
        <w:t>米为高山草甸与高寒荒漠的交错地带</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w:t>
      </w:r>
      <w:r>
        <w:rPr>
          <w:rFonts w:ascii="Times New Roman" w:eastAsia="Times New Roman" w:hAnsi="Times New Roman" w:cs="Times New Roman"/>
          <w:color w:val="000000"/>
          <w:sz w:val="21"/>
          <w:shd w:val="clear" w:color="auto" w:fill="auto"/>
          <w:vertAlign w:val="baseline"/>
        </w:rPr>
        <w:t>1990-2010</w:t>
      </w:r>
      <w:r>
        <w:rPr>
          <w:rFonts w:ascii="楷体" w:eastAsia="楷体" w:hAnsi="楷体" w:cs="楷体"/>
          <w:color w:val="000000"/>
          <w:sz w:val="21"/>
          <w:shd w:val="clear" w:color="auto" w:fill="auto"/>
          <w:vertAlign w:val="baseline"/>
        </w:rPr>
        <w:t>年祁连山冷龙岭不同海拔高寒荒漠的变化情况</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62425" cy="2066925"/>
            <wp:effectExtent l="0" t="0" r="9525" b="9525"/>
            <wp:docPr id="6" name="_x0000_i10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_i1030" descr="@@@88ef3eb1792845efa758e267a864dcaf"/>
                    <pic:cNvPicPr>
                      <a:picLocks noChangeAspect="1"/>
                    </pic:cNvPicPr>
                  </pic:nvPicPr>
                  <pic:blipFill>
                    <a:blip xmlns:r="http://schemas.openxmlformats.org/officeDocument/2006/relationships" r:embed="rId8"/>
                    <a:stretch>
                      <a:fillRect/>
                    </a:stretch>
                  </pic:blipFill>
                  <pic:spPr>
                    <a:xfrm>
                      <a:off x="0" y="0"/>
                      <a:ext cx="4162425" cy="2066925"/>
                    </a:xfrm>
                    <a:prstGeom prst="rect">
                      <a:avLst/>
                    </a:prstGeom>
                  </pic:spPr>
                </pic:pic>
              </a:graphicData>
            </a:graphic>
          </wp:inline>
        </w:drawing>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与</w:t>
      </w:r>
      <w:r>
        <w:rPr>
          <w:rFonts w:ascii="Times New Roman" w:eastAsia="Times New Roman" w:hAnsi="Times New Roman" w:cs="Times New Roman"/>
          <w:color w:val="000000"/>
          <w:sz w:val="21"/>
          <w:shd w:val="clear" w:color="auto" w:fill="auto"/>
          <w:vertAlign w:val="baseline"/>
        </w:rPr>
        <w:t>1990—2000</w:t>
      </w:r>
      <w:r>
        <w:rPr>
          <w:rFonts w:ascii="宋体" w:eastAsia="宋体" w:hAnsi="宋体" w:cs="宋体"/>
          <w:color w:val="000000"/>
          <w:sz w:val="21"/>
          <w:shd w:val="clear" w:color="auto" w:fill="auto"/>
          <w:vertAlign w:val="baseline"/>
        </w:rPr>
        <w:t>年相比</w:t>
      </w:r>
      <w:r>
        <w:rPr>
          <w:rFonts w:ascii="Times New Roman" w:eastAsia="Times New Roman" w:hAnsi="Times New Roman" w:cs="Times New Roman"/>
          <w:color w:val="000000"/>
          <w:sz w:val="21"/>
          <w:shd w:val="clear" w:color="auto" w:fill="auto"/>
          <w:vertAlign w:val="baseline"/>
        </w:rPr>
        <w:t>，2000—2010</w:t>
      </w:r>
      <w:r>
        <w:rPr>
          <w:rFonts w:ascii="宋体" w:eastAsia="宋体" w:hAnsi="宋体" w:cs="宋体"/>
          <w:color w:val="000000"/>
          <w:sz w:val="21"/>
          <w:shd w:val="clear" w:color="auto" w:fill="auto"/>
          <w:vertAlign w:val="baseline"/>
        </w:rPr>
        <w:t>年高寒荒漠总面积变化趋势和可能原因是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萎缩变缓</w:t>
      </w:r>
      <w:r>
        <w:rPr>
          <w:rFonts w:ascii="Times New Roman" w:eastAsia="Times New Roman" w:hAnsi="Times New Roman" w:cs="Times New Roman"/>
          <w:color w:val="000000"/>
          <w:sz w:val="21"/>
          <w:shd w:val="clear" w:color="auto" w:fill="auto"/>
          <w:vertAlign w:val="baseline"/>
        </w:rPr>
        <w:t>  </w:t>
      </w:r>
      <w:r>
        <w:rPr>
          <w:rFonts w:ascii="宋体" w:eastAsia="宋体" w:hAnsi="宋体" w:cs="宋体"/>
          <w:color w:val="000000"/>
          <w:sz w:val="21"/>
          <w:shd w:val="clear" w:color="auto" w:fill="auto"/>
          <w:vertAlign w:val="baseline"/>
        </w:rPr>
        <w:t>气温上升幅度减小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萎缩变缓</w:t>
      </w:r>
      <w:r>
        <w:rPr>
          <w:rFonts w:ascii="Times New Roman" w:eastAsia="Times New Roman" w:hAnsi="Times New Roman" w:cs="Times New Roman"/>
          <w:color w:val="000000"/>
          <w:sz w:val="21"/>
          <w:shd w:val="clear" w:color="auto" w:fill="auto"/>
          <w:vertAlign w:val="baseline"/>
        </w:rPr>
        <w:t>  </w:t>
      </w:r>
      <w:r>
        <w:rPr>
          <w:rFonts w:ascii="宋体" w:eastAsia="宋体" w:hAnsi="宋体" w:cs="宋体"/>
          <w:color w:val="000000"/>
          <w:sz w:val="21"/>
          <w:shd w:val="clear" w:color="auto" w:fill="auto"/>
          <w:vertAlign w:val="baseline"/>
        </w:rPr>
        <w:t>气温上升幅度增大</w:t>
      </w:r>
    </w:p>
    <w:p>
      <w:pPr>
        <w:pStyle w:val="Normal4e71f288-79bc-4f47-8ec5-b2d8e6f416c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扩张加剧</w:t>
      </w:r>
      <w:r>
        <w:rPr>
          <w:rFonts w:ascii="Times New Roman" w:eastAsia="Times New Roman" w:hAnsi="Times New Roman" w:cs="Times New Roman"/>
          <w:color w:val="000000"/>
          <w:sz w:val="21"/>
          <w:shd w:val="clear" w:color="auto" w:fill="auto"/>
          <w:vertAlign w:val="baseline"/>
        </w:rPr>
        <w:t>  </w:t>
      </w:r>
      <w:r>
        <w:rPr>
          <w:rFonts w:ascii="宋体" w:eastAsia="宋体" w:hAnsi="宋体" w:cs="宋体"/>
          <w:color w:val="000000"/>
          <w:sz w:val="21"/>
          <w:shd w:val="clear" w:color="auto" w:fill="auto"/>
          <w:vertAlign w:val="baseline"/>
        </w:rPr>
        <w:t>气温上升幅度减小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扩张加剧</w:t>
      </w:r>
      <w:r>
        <w:rPr>
          <w:rFonts w:ascii="Times New Roman" w:eastAsia="Times New Roman" w:hAnsi="Times New Roman" w:cs="Times New Roman"/>
          <w:color w:val="000000"/>
          <w:sz w:val="21"/>
          <w:shd w:val="clear" w:color="auto" w:fill="auto"/>
          <w:vertAlign w:val="baseline"/>
        </w:rPr>
        <w:t>  </w:t>
      </w:r>
      <w:r>
        <w:rPr>
          <w:rFonts w:ascii="宋体" w:eastAsia="宋体" w:hAnsi="宋体" w:cs="宋体"/>
          <w:color w:val="000000"/>
          <w:sz w:val="21"/>
          <w:shd w:val="clear" w:color="auto" w:fill="auto"/>
          <w:vertAlign w:val="baseline"/>
        </w:rPr>
        <w:t>气温下降幅度增大</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与</w:t>
      </w:r>
      <w:r>
        <w:rPr>
          <w:rFonts w:ascii="Times New Roman" w:eastAsia="Times New Roman" w:hAnsi="Times New Roman" w:cs="Times New Roman"/>
          <w:color w:val="000000"/>
          <w:sz w:val="21"/>
          <w:shd w:val="clear" w:color="auto" w:fill="auto"/>
          <w:vertAlign w:val="baseline"/>
        </w:rPr>
        <w:t>3700-3800</w:t>
      </w:r>
      <w:r>
        <w:rPr>
          <w:rFonts w:ascii="宋体" w:eastAsia="宋体" w:hAnsi="宋体" w:cs="宋体"/>
          <w:color w:val="000000"/>
          <w:sz w:val="21"/>
          <w:shd w:val="clear" w:color="auto" w:fill="auto"/>
          <w:vertAlign w:val="baseline"/>
        </w:rPr>
        <w:t>米相比</w:t>
      </w:r>
      <w:r>
        <w:rPr>
          <w:rFonts w:ascii="Times New Roman" w:eastAsia="Times New Roman" w:hAnsi="Times New Roman" w:cs="Times New Roman"/>
          <w:color w:val="000000"/>
          <w:sz w:val="21"/>
          <w:shd w:val="clear" w:color="auto" w:fill="auto"/>
          <w:vertAlign w:val="baseline"/>
        </w:rPr>
        <w:t>，3600-3700</w:t>
      </w:r>
      <w:r>
        <w:rPr>
          <w:rFonts w:ascii="宋体" w:eastAsia="宋体" w:hAnsi="宋体" w:cs="宋体"/>
          <w:color w:val="000000"/>
          <w:sz w:val="21"/>
          <w:shd w:val="clear" w:color="auto" w:fill="auto"/>
          <w:vertAlign w:val="baseline"/>
        </w:rPr>
        <w:t>米在</w:t>
      </w:r>
      <w:r>
        <w:rPr>
          <w:rFonts w:ascii="Times New Roman" w:eastAsia="Times New Roman" w:hAnsi="Times New Roman" w:cs="Times New Roman"/>
          <w:color w:val="000000"/>
          <w:sz w:val="21"/>
          <w:shd w:val="clear" w:color="auto" w:fill="auto"/>
          <w:vertAlign w:val="baseline"/>
        </w:rPr>
        <w:t>1990-2000</w:t>
      </w:r>
      <w:r>
        <w:rPr>
          <w:rFonts w:ascii="宋体" w:eastAsia="宋体" w:hAnsi="宋体" w:cs="宋体"/>
          <w:color w:val="000000"/>
          <w:sz w:val="21"/>
          <w:shd w:val="clear" w:color="auto" w:fill="auto"/>
          <w:vertAlign w:val="baseline"/>
        </w:rPr>
        <w:t>年高寒荒漠萎缩面积小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这主要是该地带</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高寒荒漠分布面积小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高山草甸生长条件差</w:t>
      </w:r>
    </w:p>
    <w:p>
      <w:pPr>
        <w:pStyle w:val="Normal4e71f288-79bc-4f47-8ec5-b2d8e6f416c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高寒荒漠分布面积大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高山草甸分布面积小</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下列特征中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最有可能导致</w:t>
      </w:r>
      <w:r>
        <w:rPr>
          <w:rFonts w:ascii="Times New Roman" w:eastAsia="Times New Roman" w:hAnsi="Times New Roman" w:cs="Times New Roman"/>
          <w:color w:val="000000"/>
          <w:sz w:val="21"/>
          <w:shd w:val="clear" w:color="auto" w:fill="auto"/>
          <w:vertAlign w:val="baseline"/>
        </w:rPr>
        <w:t>1990-2010</w:t>
      </w:r>
      <w:r>
        <w:rPr>
          <w:rFonts w:ascii="宋体" w:eastAsia="宋体" w:hAnsi="宋体" w:cs="宋体"/>
          <w:color w:val="000000"/>
          <w:sz w:val="21"/>
          <w:shd w:val="clear" w:color="auto" w:fill="auto"/>
          <w:vertAlign w:val="baseline"/>
        </w:rPr>
        <w:t>年高寒荒漠扩张区呈零星分布状态的是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海拔高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热量条件差</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风力大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水分条件差</w:t>
      </w:r>
    </w:p>
    <w:p>
      <w:pPr>
        <w:pStyle w:val="Normal4e71f288-79bc-4f47-8ec5-b2d8e6f416c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气温低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土壤养分少</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坡度大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土壤不稳定</w:t>
      </w:r>
    </w:p>
    <w:p>
      <w:pPr>
        <w:pStyle w:val="Normal4e71f288-79bc-4f47-8ec5-b2d8e6f416c3"/>
        <w:tabs>
          <w:tab w:val="left" w:pos="4156"/>
        </w:tabs>
        <w:spacing w:line="320" w:lineRule="auto"/>
        <w:ind w:left="380"/>
        <w:jc w:val="left"/>
        <w:textAlignment w:val="center"/>
        <w:rPr>
          <w:sz w:val="21"/>
        </w:rPr>
      </w:pPr>
    </w:p>
    <w:p>
      <w:pPr>
        <w:pStyle w:val="Normal4e71f288-79bc-4f47-8ec5-b2d8e6f416c3"/>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中欧地区城市夏季常出现热浪天气</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街道两侧建筑物和树木的阴影可缓解行人的热感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行人热感可用生理等效温度</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P</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衡量</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示意中欧地区某市</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48</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N</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8</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E</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一条东西向街道行道树布置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示意该街道某年夏至日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天气晴朗</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风力微弱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当地时间</w:t>
      </w:r>
      <w:r>
        <w:rPr>
          <w:rFonts w:ascii="Times New Roman" w:eastAsia="Times New Roman" w:hAnsi="Times New Roman" w:cs="Times New Roman"/>
          <w:color w:val="000000"/>
          <w:sz w:val="21"/>
          <w:shd w:val="clear" w:color="auto" w:fill="auto"/>
          <w:vertAlign w:val="baseline"/>
        </w:rPr>
        <w:t>9-15</w:t>
      </w:r>
      <w:r>
        <w:rPr>
          <w:rFonts w:ascii="楷体" w:eastAsia="楷体" w:hAnsi="楷体" w:cs="楷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P</w:t>
      </w:r>
      <w:r>
        <w:rPr>
          <w:rFonts w:ascii="楷体" w:eastAsia="楷体" w:hAnsi="楷体" w:cs="楷体"/>
          <w:color w:val="000000"/>
          <w:sz w:val="21"/>
          <w:shd w:val="clear" w:color="auto" w:fill="auto"/>
          <w:vertAlign w:val="baseline"/>
        </w:rPr>
        <w:t>平均值的分布</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tan65.5</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2.19</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990975" cy="1581150"/>
            <wp:effectExtent l="0" t="0" r="9525" b="0"/>
            <wp:docPr id="7" name="_x0000_i1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_i1031" descr="@@@4584a4c75eb440e39e4a373335bc7556"/>
                    <pic:cNvPicPr>
                      <a:picLocks noChangeAspect="1"/>
                    </pic:cNvPicPr>
                  </pic:nvPicPr>
                  <pic:blipFill>
                    <a:blip xmlns:r="http://schemas.openxmlformats.org/officeDocument/2006/relationships" r:embed="rId9"/>
                    <a:stretch>
                      <a:fillRect/>
                    </a:stretch>
                  </pic:blipFill>
                  <pic:spPr>
                    <a:xfrm>
                      <a:off x="0" y="0"/>
                      <a:ext cx="3990975" cy="1581150"/>
                    </a:xfrm>
                    <a:prstGeom prst="rect">
                      <a:avLst/>
                    </a:prstGeom>
                  </pic:spPr>
                </pic:pic>
              </a:graphicData>
            </a:graphic>
          </wp:inline>
        </w:drawing>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乙两处</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平均值的差异主要源于</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全时段两侧建筑物的遮阴</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上午西侧行道树的遮阴</w:t>
      </w:r>
    </w:p>
    <w:p>
      <w:pPr>
        <w:pStyle w:val="Normal4e71f288-79bc-4f47-8ec5-b2d8e6f416c3"/>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全时段东侧行道树的遮阴</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下午西侧行道树的遮阴</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同样情境下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若降低两侧建筑物高度至</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丙两处</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平均值的差异将</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4e71f288-79bc-4f47-8ec5-b2d8e6f416c3"/>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变小</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变大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不变</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不确定</w:t>
      </w:r>
    </w:p>
    <w:p>
      <w:pPr>
        <w:pStyle w:val="Normal4e71f288-79bc-4f47-8ec5-b2d8e6f416c3"/>
        <w:tabs>
          <w:tab w:val="left" w:pos="2078"/>
          <w:tab w:val="left" w:pos="4156"/>
          <w:tab w:val="left" w:pos="6234"/>
        </w:tabs>
        <w:spacing w:line="320" w:lineRule="auto"/>
        <w:ind w:left="380"/>
        <w:jc w:val="left"/>
        <w:textAlignment w:val="center"/>
        <w:rPr>
          <w:sz w:val="21"/>
        </w:rPr>
      </w:pPr>
    </w:p>
    <w:p>
      <w:pPr>
        <w:pStyle w:val="Normal4e71f288-79bc-4f47-8ec5-b2d8e6f416c3"/>
      </w:pPr>
    </w:p>
    <w:p>
      <w:pPr>
        <w:pStyle w:val="paraStyle"/>
        <w:spacing w:before="200" w:beforeAutospacing="0" w:after="200" w:afterAutospacing="0"/>
      </w:pPr>
      <w:r>
        <w:t>二、综合题</w:t>
      </w:r>
    </w:p>
    <w:p>
      <w:pPr>
        <w:pStyle w:val="Normal4e71f288-79bc-4f47-8ec5-b2d8e6f416c3"/>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哥伦比亚首都波哥大市位于安第斯山北部山间盆地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旱雨季分明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暴雨和洪水多发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洪泛平原广布</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1492</w:t>
      </w:r>
      <w:r>
        <w:rPr>
          <w:rFonts w:ascii="楷体" w:eastAsia="楷体" w:hAnsi="楷体" w:cs="楷体"/>
          <w:color w:val="000000"/>
          <w:sz w:val="21"/>
          <w:shd w:val="clear" w:color="auto" w:fill="auto"/>
          <w:vertAlign w:val="baseline"/>
        </w:rPr>
        <w:t>年以前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当地居民就开始在洪泛平原修建脊田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并利用脊田的不同形态对地表径流进行调控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发展农业生产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其中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垂直脊田和平行脊田临近河流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棋盘脊田距离河流较远</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后来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随着社会经济的发展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脊田逐渐从人们的生活中消失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进入</w:t>
      </w:r>
      <w:r>
        <w:rPr>
          <w:rFonts w:ascii="Times New Roman" w:eastAsia="Times New Roman" w:hAnsi="Times New Roman" w:cs="Times New Roman"/>
          <w:color w:val="000000"/>
          <w:sz w:val="21"/>
          <w:shd w:val="clear" w:color="auto" w:fill="auto"/>
          <w:vertAlign w:val="baseline"/>
        </w:rPr>
        <w:t>21</w:t>
      </w:r>
      <w:r>
        <w:rPr>
          <w:rFonts w:ascii="楷体" w:eastAsia="楷体" w:hAnsi="楷体" w:cs="楷体"/>
          <w:color w:val="000000"/>
          <w:sz w:val="21"/>
          <w:shd w:val="clear" w:color="auto" w:fill="auto"/>
          <w:vertAlign w:val="baseline"/>
        </w:rPr>
        <w:t>世纪</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城市向洪泛平原快速扩张</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面临严重的雨洪危机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近年来</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城市规划者尝试将历史脊田与现代城市功能相结合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如居住区规划设计中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在现有建筑之间建造雨水花园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并将停车场改造为下沉式的雨水储存场所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下图示意三种不同形态的脊田</w:t>
      </w:r>
      <w:r>
        <w:rPr>
          <w:rFonts w:ascii="楷体" w:eastAsia="楷体" w:hAnsi="楷体" w:cs="楷体"/>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00475" cy="885825"/>
            <wp:effectExtent l="0" t="0" r="9525" b="9525"/>
            <wp:docPr id="8" name="_x0000_i10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i1032" descr="@@@084e6c8166da4425a433e1fe6af79e3b"/>
                    <pic:cNvPicPr>
                      <a:picLocks noChangeAspect="1"/>
                    </pic:cNvPicPr>
                  </pic:nvPicPr>
                  <pic:blipFill>
                    <a:blip xmlns:r="http://schemas.openxmlformats.org/officeDocument/2006/relationships" r:embed="rId10"/>
                    <a:stretch>
                      <a:fillRect/>
                    </a:stretch>
                  </pic:blipFill>
                  <pic:spPr>
                    <a:xfrm>
                      <a:off x="0" y="0"/>
                      <a:ext cx="3800475" cy="885825"/>
                    </a:xfrm>
                    <a:prstGeom prst="rect">
                      <a:avLst/>
                    </a:prstGeom>
                  </pic:spPr>
                </pic:pic>
              </a:graphicData>
            </a:graphic>
          </wp:inline>
        </w:drawing>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分别推测三种脊田对雨洪的主要调控作用</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简述脊田在现代商品农业中难以存续的原因</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城市规划者将历史脊田的形态融入到洪泛平原的居住区规划设计中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指出这种设计的主要目的</w:t>
      </w:r>
      <w:r>
        <w:rPr>
          <w:rFonts w:ascii="Times New Roman" w:eastAsia="Times New Roman" w:hAnsi="Times New Roman" w:cs="Times New Roman"/>
          <w:color w:val="000000"/>
          <w:sz w:val="21"/>
          <w:shd w:val="clear" w:color="auto" w:fill="auto"/>
          <w:vertAlign w:val="baseline"/>
        </w:rPr>
        <w:t>。</w:t>
      </w:r>
    </w:p>
    <w:p>
      <w:pPr>
        <w:pStyle w:val="Normal4e71f288-79bc-4f47-8ec5-b2d8e6f416c3"/>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海洋温度锋是指海水温度呈极大水平梯度的现象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全年广泛分布在大陆架海域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它的存在会阻挡海岸陆源物质向外陆架海域输送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研究表明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山东半岛附近海域沿岸波短期性显著加强时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局地的海洋温度锋会被破坏</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这是海岸陆源物质输送到外陆架海域的主要时期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1</w:t>
      </w:r>
      <w:r>
        <w:rPr>
          <w:rFonts w:ascii="楷体" w:eastAsia="楷体" w:hAnsi="楷体" w:cs="楷体"/>
          <w:color w:val="000000"/>
          <w:sz w:val="21"/>
          <w:shd w:val="clear" w:color="auto" w:fill="auto"/>
          <w:vertAlign w:val="baseline"/>
        </w:rPr>
        <w:t>示意我国部分海域冬季海水表层温度水平梯度的空间分布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图</w:t>
      </w:r>
      <w:r>
        <w:rPr>
          <w:rFonts w:ascii="Times New Roman" w:eastAsia="Times New Roman" w:hAnsi="Times New Roman" w:cs="Times New Roman"/>
          <w:color w:val="000000"/>
          <w:sz w:val="21"/>
          <w:shd w:val="clear" w:color="auto" w:fill="auto"/>
          <w:vertAlign w:val="baseline"/>
        </w:rPr>
        <w:t>2</w:t>
      </w:r>
      <w:r>
        <w:rPr>
          <w:rFonts w:ascii="楷体" w:eastAsia="楷体" w:hAnsi="楷体" w:cs="楷体"/>
          <w:color w:val="000000"/>
          <w:sz w:val="21"/>
          <w:shd w:val="clear" w:color="auto" w:fill="auto"/>
          <w:vertAlign w:val="baseline"/>
        </w:rPr>
        <w:t>示意</w:t>
      </w:r>
      <w:r>
        <w:rPr>
          <w:rFonts w:ascii="Times New Roman" w:eastAsia="Times New Roman" w:hAnsi="Times New Roman" w:cs="Times New Roman"/>
          <w:color w:val="000000"/>
          <w:sz w:val="21"/>
          <w:shd w:val="clear" w:color="auto" w:fill="auto"/>
          <w:vertAlign w:val="baseline"/>
        </w:rPr>
        <w:t>2019</w:t>
      </w:r>
      <w:r>
        <w:rPr>
          <w:rFonts w:ascii="楷体" w:eastAsia="楷体" w:hAnsi="楷体" w:cs="楷体"/>
          <w:color w:val="000000"/>
          <w:sz w:val="21"/>
          <w:shd w:val="clear" w:color="auto" w:fill="auto"/>
          <w:vertAlign w:val="baseline"/>
        </w:rPr>
        <w:t>年冬季某日甲区域海水悬浮物浓度的空间分布</w:t>
      </w:r>
      <w:r>
        <w:rPr>
          <w:rFonts w:ascii="楷体" w:eastAsia="楷体" w:hAnsi="楷体" w:cs="楷体"/>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57625" cy="2505075"/>
            <wp:effectExtent l="0" t="0" r="9525" b="9525"/>
            <wp:docPr id="9" name="_x0000_i1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00_i1033" descr="@@@9b91f8f554244b3c8f9a49eab5b188ab"/>
                    <pic:cNvPicPr>
                      <a:picLocks noChangeAspect="1"/>
                    </pic:cNvPicPr>
                  </pic:nvPicPr>
                  <pic:blipFill>
                    <a:blip xmlns:r="http://schemas.openxmlformats.org/officeDocument/2006/relationships" r:embed="rId11"/>
                    <a:stretch>
                      <a:fillRect/>
                    </a:stretch>
                  </pic:blipFill>
                  <pic:spPr>
                    <a:xfrm>
                      <a:off x="0" y="0"/>
                      <a:ext cx="3857625" cy="2505075"/>
                    </a:xfrm>
                    <a:prstGeom prst="rect">
                      <a:avLst/>
                    </a:prstGeom>
                  </pic:spPr>
                </pic:pic>
              </a:graphicData>
            </a:graphic>
          </wp:inline>
        </w:drawing>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简述图</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中甲区域冬季海洋温度锋的空间分布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并分析该季节海洋温度锋显著的原因</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分析图</w:t>
      </w: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中</w:t>
      </w:r>
      <w:r>
        <w:rPr>
          <w:rFonts w:ascii="Times New Roman" w:eastAsia="Times New Roman" w:hAnsi="Times New Roman" w:cs="Times New Roman"/>
          <w:color w:val="000000"/>
          <w:sz w:val="21"/>
          <w:shd w:val="clear" w:color="auto" w:fill="auto"/>
          <w:vertAlign w:val="baseline"/>
        </w:rPr>
        <w:t>A、B</w:t>
      </w:r>
      <w:r>
        <w:rPr>
          <w:rFonts w:ascii="宋体" w:eastAsia="宋体" w:hAnsi="宋体" w:cs="宋体"/>
          <w:color w:val="000000"/>
          <w:sz w:val="21"/>
          <w:shd w:val="clear" w:color="auto" w:fill="auto"/>
          <w:vertAlign w:val="baseline"/>
        </w:rPr>
        <w:t>海域悬浮物浓度存在显著差异的原因</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判断山东半岛附近海域陆源物质向外陆架海域输送的主要季节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并说明理由</w:t>
      </w:r>
      <w:r>
        <w:rPr>
          <w:rFonts w:ascii="Times New Roman" w:eastAsia="Times New Roman" w:hAnsi="Times New Roman" w:cs="Times New Roman"/>
          <w:color w:val="000000"/>
          <w:sz w:val="21"/>
          <w:shd w:val="clear" w:color="auto" w:fill="auto"/>
          <w:vertAlign w:val="baseline"/>
        </w:rPr>
        <w:t>。</w:t>
      </w:r>
    </w:p>
    <w:p>
      <w:pPr>
        <w:pStyle w:val="Normal4e71f288-79bc-4f47-8ec5-b2d8e6f416c3"/>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我国西部某沙漠年降水量</w:t>
      </w:r>
      <w:r>
        <w:rPr>
          <w:rFonts w:ascii="Times New Roman" w:eastAsia="Times New Roman" w:hAnsi="Times New Roman" w:cs="Times New Roman"/>
          <w:color w:val="000000"/>
          <w:sz w:val="21"/>
          <w:shd w:val="clear" w:color="auto" w:fill="auto"/>
          <w:vertAlign w:val="baseline"/>
        </w:rPr>
        <w:t>70</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150mm</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冬季有一定厚度的稳定积雪</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某些短期生植物在该沙漠广泛分布</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其生长期在</w:t>
      </w: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6</w:t>
      </w:r>
      <w:r>
        <w:rPr>
          <w:rFonts w:ascii="楷体" w:eastAsia="楷体" w:hAnsi="楷体" w:cs="楷体"/>
          <w:color w:val="000000"/>
          <w:sz w:val="21"/>
          <w:shd w:val="clear" w:color="auto" w:fill="auto"/>
          <w:vertAlign w:val="baseline"/>
        </w:rPr>
        <w:t>月</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根系深约</w:t>
      </w:r>
      <w:r>
        <w:rPr>
          <w:rFonts w:ascii="Times New Roman" w:eastAsia="Times New Roman" w:hAnsi="Times New Roman" w:cs="Times New Roman"/>
          <w:color w:val="000000"/>
          <w:sz w:val="21"/>
          <w:shd w:val="clear" w:color="auto" w:fill="auto"/>
          <w:vertAlign w:val="baseline"/>
        </w:rPr>
        <w:t>30cm</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某中学地理小组为了研究沙垄不同地貌部位表层土壤水分与植被生长的关系</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制定了如下调查方案</w:t>
      </w:r>
      <w:r>
        <w:rPr>
          <w:rFonts w:ascii="楷体" w:eastAsia="楷体" w:hAnsi="楷体" w:cs="楷体"/>
          <w:color w:val="000000"/>
          <w:sz w:val="21"/>
          <w:shd w:val="clear" w:color="auto" w:fill="auto"/>
          <w:vertAlign w:val="baseline"/>
        </w:rPr>
        <w:t>：</w:t>
      </w:r>
    </w:p>
    <w:p>
      <w:pPr>
        <w:pStyle w:val="Normal4e71f288-79bc-4f47-8ec5-b2d8e6f416c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在一条典型沙垄上选定</w:t>
      </w:r>
      <w:r>
        <w:rPr>
          <w:rFonts w:ascii="Times New Roman" w:eastAsia="Times New Roman" w:hAnsi="Times New Roman" w:cs="Times New Roman"/>
          <w:color w:val="000000"/>
          <w:sz w:val="21"/>
          <w:shd w:val="clear" w:color="auto" w:fill="auto"/>
          <w:vertAlign w:val="baseline"/>
        </w:rPr>
        <w:t>A</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B</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C</w:t>
      </w:r>
      <w:r>
        <w:rPr>
          <w:rFonts w:ascii="楷体" w:eastAsia="楷体" w:hAnsi="楷体" w:cs="楷体"/>
          <w:color w:val="000000"/>
          <w:sz w:val="21"/>
          <w:shd w:val="clear" w:color="auto" w:fill="auto"/>
          <w:vertAlign w:val="baseline"/>
        </w:rPr>
        <w:t>三个采样地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合理设置样方</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通过日测获取植被覆盖度</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在样方中采集</w:t>
      </w:r>
      <w:r>
        <w:rPr>
          <w:rFonts w:ascii="Times New Roman" w:eastAsia="Times New Roman" w:hAnsi="Times New Roman" w:cs="Times New Roman"/>
          <w:color w:val="000000"/>
          <w:sz w:val="21"/>
          <w:shd w:val="clear" w:color="auto" w:fill="auto"/>
          <w:vertAlign w:val="baseline"/>
        </w:rPr>
        <w:t>20cm</w:t>
      </w:r>
      <w:r>
        <w:rPr>
          <w:rFonts w:ascii="楷体" w:eastAsia="楷体" w:hAnsi="楷体" w:cs="楷体"/>
          <w:color w:val="000000"/>
          <w:sz w:val="21"/>
          <w:shd w:val="clear" w:color="auto" w:fill="auto"/>
          <w:vertAlign w:val="baseline"/>
        </w:rPr>
        <w:t>深度的土壤样品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密封后送实验室测量样品土壤含水量</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在</w:t>
      </w: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7</w:t>
      </w:r>
      <w:r>
        <w:rPr>
          <w:rFonts w:ascii="楷体" w:eastAsia="楷体" w:hAnsi="楷体" w:cs="楷体"/>
          <w:color w:val="000000"/>
          <w:sz w:val="21"/>
          <w:shd w:val="clear" w:color="auto" w:fill="auto"/>
          <w:vertAlign w:val="baseline"/>
        </w:rPr>
        <w:t>月分</w:t>
      </w:r>
      <w:r>
        <w:rPr>
          <w:rFonts w:ascii="Times New Roman" w:eastAsia="Times New Roman" w:hAnsi="Times New Roman" w:cs="Times New Roman"/>
          <w:color w:val="000000"/>
          <w:sz w:val="21"/>
          <w:shd w:val="clear" w:color="auto" w:fill="auto"/>
          <w:vertAlign w:val="baseline"/>
        </w:rPr>
        <w:t>7</w:t>
      </w:r>
      <w:r>
        <w:rPr>
          <w:rFonts w:ascii="楷体" w:eastAsia="楷体" w:hAnsi="楷体" w:cs="楷体"/>
          <w:color w:val="000000"/>
          <w:sz w:val="21"/>
          <w:shd w:val="clear" w:color="auto" w:fill="auto"/>
          <w:vertAlign w:val="baseline"/>
        </w:rPr>
        <w:t>次按同样的方法进行采样调查</w:t>
      </w:r>
      <w:r>
        <w:rPr>
          <w:rFonts w:ascii="楷体" w:eastAsia="楷体" w:hAnsi="楷体" w:cs="楷体"/>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62250" cy="1304925"/>
            <wp:effectExtent l="0" t="0" r="0" b="9525"/>
            <wp:docPr id="10" name="_x0000_i10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00_i1034" descr="@@@af0ee3edb3e34efcad9eb498c34dba6f"/>
                    <pic:cNvPicPr>
                      <a:picLocks noChangeAspect="1"/>
                    </pic:cNvPicPr>
                  </pic:nvPicPr>
                  <pic:blipFill>
                    <a:blip xmlns:r="http://schemas.openxmlformats.org/officeDocument/2006/relationships" r:embed="rId12"/>
                    <a:stretch>
                      <a:fillRect/>
                    </a:stretch>
                  </pic:blipFill>
                  <pic:spPr>
                    <a:xfrm>
                      <a:off x="0" y="0"/>
                      <a:ext cx="2762250" cy="1304925"/>
                    </a:xfrm>
                    <a:prstGeom prst="rect">
                      <a:avLst/>
                    </a:prstGeom>
                  </pic:spPr>
                </pic:pic>
              </a:graphicData>
            </a:graphic>
          </wp:inline>
        </w:drawing>
      </w:r>
    </w:p>
    <w:p>
      <w:pPr>
        <w:pStyle w:val="Normal4e71f288-79bc-4f47-8ec5-b2d8e6f416c3"/>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通过调查和实验</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获得了相关数据</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下表</w:t>
      </w:r>
      <w:r>
        <w:rPr>
          <w:rFonts w:ascii="楷体" w:eastAsia="楷体" w:hAnsi="楷体" w:cs="楷体"/>
          <w:color w:val="000000"/>
          <w:sz w:val="21"/>
          <w:shd w:val="clear" w:color="auto" w:fill="auto"/>
          <w:vertAlign w:val="baseline"/>
        </w:rPr>
        <w:t>）。</w:t>
      </w:r>
    </w:p>
    <w:tbl>
      <w:tblPr>
        <w:tblStyle w:val="TableNormal"/>
        <w:tblW w:w="61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839"/>
        <w:gridCol w:w="997"/>
        <w:gridCol w:w="835"/>
        <w:gridCol w:w="835"/>
        <w:gridCol w:w="835"/>
        <w:gridCol w:w="835"/>
        <w:gridCol w:w="989"/>
      </w:tblGrid>
      <w:tr>
        <w:tblPrEx>
          <w:tblW w:w="61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1110" w:type="dxa"/>
            <w:vMerge w:val="restart"/>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采样日期</w:t>
            </w:r>
          </w:p>
        </w:tc>
        <w:tc>
          <w:tcPr>
            <w:tcW w:w="1560" w:type="dxa"/>
            <w:gridSpan w:val="2"/>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楷体" w:eastAsia="楷体" w:hAnsi="楷体" w:cs="楷体"/>
                <w:color w:val="000000"/>
                <w:sz w:val="21"/>
                <w:shd w:val="clear" w:color="auto" w:fill="auto"/>
                <w:vertAlign w:val="baseline"/>
              </w:rPr>
              <w:t>样地</w:t>
            </w:r>
          </w:p>
        </w:tc>
        <w:tc>
          <w:tcPr>
            <w:tcW w:w="1560" w:type="dxa"/>
            <w:gridSpan w:val="2"/>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B</w:t>
            </w:r>
            <w:r>
              <w:rPr>
                <w:rFonts w:ascii="楷体" w:eastAsia="楷体" w:hAnsi="楷体" w:cs="楷体"/>
                <w:color w:val="000000"/>
                <w:sz w:val="21"/>
                <w:shd w:val="clear" w:color="auto" w:fill="auto"/>
                <w:vertAlign w:val="baseline"/>
              </w:rPr>
              <w:t>样地</w:t>
            </w:r>
          </w:p>
        </w:tc>
        <w:tc>
          <w:tcPr>
            <w:tcW w:w="1560" w:type="dxa"/>
            <w:gridSpan w:val="2"/>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楷体" w:eastAsia="楷体" w:hAnsi="楷体" w:cs="楷体"/>
                <w:color w:val="000000"/>
                <w:sz w:val="21"/>
                <w:shd w:val="clear" w:color="auto" w:fill="auto"/>
                <w:vertAlign w:val="baseline"/>
              </w:rPr>
              <w:t>样地</w:t>
            </w:r>
          </w:p>
        </w:tc>
      </w:tr>
      <w:tr>
        <w:tblPrEx>
          <w:tblW w:w="6165" w:type="dxa"/>
          <w:tblInd w:w="0" w:type="dxa"/>
          <w:tblCellMar>
            <w:top w:w="120" w:type="dxa"/>
            <w:left w:w="120" w:type="dxa"/>
            <w:bottom w:w="120" w:type="dxa"/>
            <w:right w:w="120" w:type="dxa"/>
          </w:tblCellMar>
          <w:tblLook w:val="0600"/>
        </w:tblPrEx>
        <w:trPr>
          <w:trHeight w:hRule="auto" w:val="0"/>
        </w:trPr>
        <w:tc>
          <w:tcPr>
            <w:tcW w:w="0" w:type="auto"/>
            <w:vMerge/>
            <w:tcBorders>
              <w:top w:val="single" w:sz="6" w:space="0" w:color="auto"/>
              <w:left w:val="single" w:sz="6" w:space="0" w:color="auto"/>
              <w:bottom w:val="single" w:sz="6" w:space="0" w:color="auto"/>
              <w:right w:val="single" w:sz="6" w:space="0" w:color="auto"/>
            </w:tcBorders>
          </w:tcPr>
          <w:p>
            <w:pPr>
              <w:pStyle w:val="Normal4e71f288-79bc-4f47-8ec5-b2d8e6f416c3"/>
              <w:shd w:val="clear" w:color="auto" w:fill="auto"/>
              <w:spacing w:line="320" w:lineRule="auto"/>
              <w:jc w:val="left"/>
              <w:textAlignment w:val="center"/>
              <w:rPr>
                <w:sz w:val="21"/>
              </w:rPr>
            </w:pPr>
          </w:p>
        </w:tc>
        <w:tc>
          <w:tcPr>
            <w:tcW w:w="11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覆盖度</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含水量</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覆盖度</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含水量</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覆盖度</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楷体" w:eastAsia="楷体" w:hAnsi="楷体" w:cs="楷体"/>
                <w:color w:val="000000"/>
                <w:sz w:val="21"/>
                <w:shd w:val="clear" w:color="auto" w:fill="auto"/>
                <w:vertAlign w:val="baseline"/>
              </w:rPr>
              <w:t>含水量</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w:t>
            </w:r>
            <w:r>
              <w:rPr>
                <w:rFonts w:ascii="楷体" w:eastAsia="楷体" w:hAnsi="楷体" w:cs="楷体"/>
                <w:color w:val="000000"/>
                <w:sz w:val="21"/>
                <w:shd w:val="clear" w:color="auto" w:fill="auto"/>
                <w:vertAlign w:val="baseline"/>
              </w:rPr>
              <w:t>）</w:t>
            </w:r>
          </w:p>
        </w:tc>
      </w:tr>
      <w:tr>
        <w:tblPrEx>
          <w:tblW w:w="6165" w:type="dxa"/>
          <w:tblInd w:w="0" w:type="dxa"/>
          <w:tblCellMar>
            <w:top w:w="120" w:type="dxa"/>
            <w:left w:w="120" w:type="dxa"/>
            <w:bottom w:w="120" w:type="dxa"/>
            <w:right w:w="120" w:type="dxa"/>
          </w:tblCellMar>
          <w:tblLook w:val="0600"/>
        </w:tblPrEx>
        <w:trPr>
          <w:trHeight w:hRule="auto" w:val="0"/>
        </w:trPr>
        <w:tc>
          <w:tcPr>
            <w:tcW w:w="11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6</w:t>
            </w:r>
            <w:r>
              <w:rPr>
                <w:rFonts w:ascii="楷体" w:eastAsia="楷体" w:hAnsi="楷体" w:cs="楷体"/>
                <w:color w:val="000000"/>
                <w:sz w:val="21"/>
                <w:shd w:val="clear" w:color="auto" w:fill="auto"/>
                <w:vertAlign w:val="baseline"/>
              </w:rPr>
              <w:t>日</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3.5</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p>
        </w:tc>
        <w:tc>
          <w:tcPr>
            <w:tcW w:w="10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5.2</w:t>
            </w:r>
          </w:p>
        </w:tc>
      </w:tr>
      <w:tr>
        <w:tblPrEx>
          <w:tblW w:w="6165" w:type="dxa"/>
          <w:tblInd w:w="0" w:type="dxa"/>
          <w:tblCellMar>
            <w:top w:w="120" w:type="dxa"/>
            <w:left w:w="120" w:type="dxa"/>
            <w:bottom w:w="120" w:type="dxa"/>
            <w:right w:w="120" w:type="dxa"/>
          </w:tblCellMar>
          <w:tblLook w:val="0600"/>
        </w:tblPrEx>
        <w:trPr>
          <w:trHeight w:hRule="auto" w:val="0"/>
        </w:trPr>
        <w:tc>
          <w:tcPr>
            <w:tcW w:w="11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13</w:t>
            </w:r>
            <w:r>
              <w:rPr>
                <w:rFonts w:ascii="楷体" w:eastAsia="楷体" w:hAnsi="楷体" w:cs="楷体"/>
                <w:color w:val="000000"/>
                <w:sz w:val="21"/>
                <w:shd w:val="clear" w:color="auto" w:fill="auto"/>
                <w:vertAlign w:val="baseline"/>
              </w:rPr>
              <w:t>日</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4.5</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5.3</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p>
        </w:tc>
        <w:tc>
          <w:tcPr>
            <w:tcW w:w="10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5.6</w:t>
            </w:r>
          </w:p>
        </w:tc>
      </w:tr>
      <w:tr>
        <w:tblPrEx>
          <w:tblW w:w="6165" w:type="dxa"/>
          <w:tblInd w:w="0" w:type="dxa"/>
          <w:tblCellMar>
            <w:top w:w="120" w:type="dxa"/>
            <w:left w:w="120" w:type="dxa"/>
            <w:bottom w:w="120" w:type="dxa"/>
            <w:right w:w="120" w:type="dxa"/>
          </w:tblCellMar>
          <w:tblLook w:val="0600"/>
        </w:tblPrEx>
        <w:trPr>
          <w:trHeight w:hRule="auto" w:val="0"/>
        </w:trPr>
        <w:tc>
          <w:tcPr>
            <w:tcW w:w="11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25</w:t>
            </w:r>
            <w:r>
              <w:rPr>
                <w:rFonts w:ascii="楷体" w:eastAsia="楷体" w:hAnsi="楷体" w:cs="楷体"/>
                <w:color w:val="000000"/>
                <w:sz w:val="21"/>
                <w:shd w:val="clear" w:color="auto" w:fill="auto"/>
                <w:vertAlign w:val="baseline"/>
              </w:rPr>
              <w:t>日</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4.5</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21</w:t>
            </w:r>
          </w:p>
        </w:tc>
        <w:tc>
          <w:tcPr>
            <w:tcW w:w="10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4.6</w:t>
            </w:r>
          </w:p>
        </w:tc>
      </w:tr>
      <w:tr>
        <w:tblPrEx>
          <w:tblW w:w="6165" w:type="dxa"/>
          <w:tblInd w:w="0" w:type="dxa"/>
          <w:tblCellMar>
            <w:top w:w="120" w:type="dxa"/>
            <w:left w:w="120" w:type="dxa"/>
            <w:bottom w:w="120" w:type="dxa"/>
            <w:right w:w="120" w:type="dxa"/>
          </w:tblCellMar>
          <w:tblLook w:val="0600"/>
        </w:tblPrEx>
        <w:trPr>
          <w:trHeight w:hRule="auto" w:val="0"/>
        </w:trPr>
        <w:tc>
          <w:tcPr>
            <w:tcW w:w="11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15</w:t>
            </w:r>
            <w:r>
              <w:rPr>
                <w:rFonts w:ascii="楷体" w:eastAsia="楷体" w:hAnsi="楷体" w:cs="楷体"/>
                <w:color w:val="000000"/>
                <w:sz w:val="21"/>
                <w:shd w:val="clear" w:color="auto" w:fill="auto"/>
                <w:vertAlign w:val="baseline"/>
              </w:rPr>
              <w:t>日</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2.6</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52</w:t>
            </w:r>
          </w:p>
        </w:tc>
        <w:tc>
          <w:tcPr>
            <w:tcW w:w="10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p>
        </w:tc>
      </w:tr>
      <w:tr>
        <w:tblPrEx>
          <w:tblW w:w="6165" w:type="dxa"/>
          <w:tblInd w:w="0" w:type="dxa"/>
          <w:tblCellMar>
            <w:top w:w="120" w:type="dxa"/>
            <w:left w:w="120" w:type="dxa"/>
            <w:bottom w:w="120" w:type="dxa"/>
            <w:right w:w="120" w:type="dxa"/>
          </w:tblCellMar>
          <w:tblLook w:val="0600"/>
        </w:tblPrEx>
        <w:trPr>
          <w:trHeight w:hRule="auto" w:val="0"/>
        </w:trPr>
        <w:tc>
          <w:tcPr>
            <w:tcW w:w="11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27</w:t>
            </w:r>
            <w:r>
              <w:rPr>
                <w:rFonts w:ascii="楷体" w:eastAsia="楷体" w:hAnsi="楷体" w:cs="楷体"/>
                <w:color w:val="000000"/>
                <w:sz w:val="21"/>
                <w:shd w:val="clear" w:color="auto" w:fill="auto"/>
                <w:vertAlign w:val="baseline"/>
              </w:rPr>
              <w:t>日</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2.5</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38</w:t>
            </w:r>
          </w:p>
        </w:tc>
        <w:tc>
          <w:tcPr>
            <w:tcW w:w="10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p>
        </w:tc>
      </w:tr>
      <w:tr>
        <w:tblPrEx>
          <w:tblW w:w="6165" w:type="dxa"/>
          <w:tblInd w:w="0" w:type="dxa"/>
          <w:tblCellMar>
            <w:top w:w="120" w:type="dxa"/>
            <w:left w:w="120" w:type="dxa"/>
            <w:bottom w:w="120" w:type="dxa"/>
            <w:right w:w="120" w:type="dxa"/>
          </w:tblCellMar>
          <w:tblLook w:val="0600"/>
        </w:tblPrEx>
        <w:trPr>
          <w:trHeight w:hRule="auto" w:val="0"/>
        </w:trPr>
        <w:tc>
          <w:tcPr>
            <w:tcW w:w="11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13</w:t>
            </w:r>
            <w:r>
              <w:rPr>
                <w:rFonts w:ascii="楷体" w:eastAsia="楷体" w:hAnsi="楷体" w:cs="楷体"/>
                <w:color w:val="000000"/>
                <w:sz w:val="21"/>
                <w:shd w:val="clear" w:color="auto" w:fill="auto"/>
                <w:vertAlign w:val="baseline"/>
              </w:rPr>
              <w:t>日</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0.7</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0.5</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30</w:t>
            </w:r>
          </w:p>
        </w:tc>
        <w:tc>
          <w:tcPr>
            <w:tcW w:w="10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p>
        </w:tc>
      </w:tr>
      <w:tr>
        <w:tblPrEx>
          <w:tblW w:w="6165" w:type="dxa"/>
          <w:tblInd w:w="0" w:type="dxa"/>
          <w:tblCellMar>
            <w:top w:w="120" w:type="dxa"/>
            <w:left w:w="120" w:type="dxa"/>
            <w:bottom w:w="120" w:type="dxa"/>
            <w:right w:w="120" w:type="dxa"/>
          </w:tblCellMar>
          <w:tblLook w:val="0600"/>
        </w:tblPrEx>
        <w:trPr>
          <w:trHeight w:hRule="auto" w:val="0"/>
        </w:trPr>
        <w:tc>
          <w:tcPr>
            <w:tcW w:w="11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14</w:t>
            </w:r>
            <w:r>
              <w:rPr>
                <w:rFonts w:ascii="楷体" w:eastAsia="楷体" w:hAnsi="楷体" w:cs="楷体"/>
                <w:color w:val="000000"/>
                <w:sz w:val="21"/>
                <w:shd w:val="clear" w:color="auto" w:fill="auto"/>
                <w:vertAlign w:val="baseline"/>
              </w:rPr>
              <w:t>日</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0.5</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0.4</w:t>
            </w:r>
          </w:p>
        </w:tc>
        <w:tc>
          <w:tcPr>
            <w:tcW w:w="78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w:t>
            </w:r>
          </w:p>
        </w:tc>
        <w:tc>
          <w:tcPr>
            <w:tcW w:w="10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4e71f288-79bc-4f47-8ec5-b2d8e6f416c3"/>
              <w:shd w:val="clear" w:color="auto" w:fill="auto"/>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0.7</w:t>
            </w:r>
          </w:p>
        </w:tc>
      </w:tr>
    </w:tbl>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某同学准备在同一坐标图中绘制</w:t>
      </w:r>
      <w:r>
        <w:rPr>
          <w:rFonts w:ascii="Times New Roman" w:eastAsia="Times New Roman" w:hAnsi="Times New Roman" w:cs="Times New Roman"/>
          <w:color w:val="000000"/>
          <w:sz w:val="21"/>
          <w:shd w:val="clear" w:color="auto" w:fill="auto"/>
          <w:vertAlign w:val="baseline"/>
        </w:rPr>
        <w:t>A、B、C</w:t>
      </w:r>
      <w:r>
        <w:rPr>
          <w:rFonts w:ascii="宋体" w:eastAsia="宋体" w:hAnsi="宋体" w:cs="宋体"/>
          <w:color w:val="000000"/>
          <w:sz w:val="21"/>
          <w:shd w:val="clear" w:color="auto" w:fill="auto"/>
          <w:vertAlign w:val="baseline"/>
        </w:rPr>
        <w:t>三个样地覆盖度与含水量折线图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在绘制了</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样地折线图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下图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发现其中一条折线存在错误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请指出错误之处</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14600" cy="2162175"/>
            <wp:effectExtent l="0" t="0" r="0" b="9525"/>
            <wp:docPr id="11" name="_x0000_i10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_x0000_i1035" descr="@@@15fc5e224d5841079f3f00f76ec49c17"/>
                    <pic:cNvPicPr>
                      <a:picLocks noChangeAspect="1"/>
                    </pic:cNvPicPr>
                  </pic:nvPicPr>
                  <pic:blipFill>
                    <a:blip xmlns:r="http://schemas.openxmlformats.org/officeDocument/2006/relationships" r:embed="rId13"/>
                    <a:stretch>
                      <a:fillRect/>
                    </a:stretch>
                  </pic:blipFill>
                  <pic:spPr>
                    <a:xfrm>
                      <a:off x="0" y="0"/>
                      <a:ext cx="2514600" cy="2162175"/>
                    </a:xfrm>
                    <a:prstGeom prst="rect">
                      <a:avLst/>
                    </a:prstGeom>
                  </pic:spPr>
                </pic:pic>
              </a:graphicData>
            </a:graphic>
          </wp:inline>
        </w:drawing>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描述沙垄植被覆盖度时空总体变化特征</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分析</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样地土壤含水量变化趋势的原因</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请对上述调查方案提出优化措施</w:t>
      </w:r>
      <w:r>
        <w:rPr>
          <w:rFonts w:ascii="Times New Roman" w:eastAsia="Times New Roman" w:hAnsi="Times New Roman" w:cs="Times New Roman"/>
          <w:color w:val="000000"/>
          <w:sz w:val="21"/>
          <w:shd w:val="clear" w:color="auto" w:fill="auto"/>
          <w:vertAlign w:val="baseline"/>
        </w:rPr>
        <w:t>。</w:t>
      </w:r>
    </w:p>
    <w:p>
      <w:pPr>
        <w:pStyle w:val="subTitleStylea5c9b66c-0f34-43d3-b144-7281eb109790"/>
        <w:spacing w:before="600" w:after="600" w:afterAutospacing="0"/>
        <w:jc w:val="center"/>
      </w:pPr>
      <w:r>
        <w:br w:type="page"/>
      </w:r>
      <w:r>
        <w:t>参考答案</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C</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伦敦作为世界知名的国际金融中心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在经济基础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科学技术水平方面具有深厚底蕴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高素质专业人才储备丰富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相比之下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都柏林在这些方面存在差距</w:t>
      </w:r>
      <w:r>
        <w:rPr>
          <w:rFonts w:ascii="Times New Roman" w:eastAsia="Times New Roman" w:hAnsi="Times New Roman" w:cs="Times New Roman"/>
          <w:color w:val="000000"/>
          <w:sz w:val="21"/>
          <w:shd w:val="clear" w:color="auto" w:fill="auto"/>
          <w:vertAlign w:val="baseline"/>
        </w:rPr>
        <w:t xml:space="preserve">，A、B、D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而都柏林整体经济水平低于伦敦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劳动力成本相对较低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这使得都柏林在发展国际金融服务业时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行业薪酬支出较少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成为其相较于伦敦的显著优势</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材料显示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部分集中服务中心分散到都柏林地区的小城镇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这些小城镇人口规模较小</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客户需求有限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并非吸引服务中心分散的原因</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服务中心分散后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各节点需要高效协作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现代信息和通讯技术能够打破空间限制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实现远程沟通与协作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成为服务中心分散的关键支撑</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小城镇产业基础薄弱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难以提供完善的产业配套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并非集中服务中心分散的依赖条件</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虽然舒适的办公和居住环境是有利因素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但无法确保与外界便捷联系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而保障对外联系畅通才是服务中心分散的重要前提</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爱尔兰借助金融服务业实现经济崛起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这大幅提升了其在欧盟经济格局中的地位</w:t>
      </w:r>
      <w:r>
        <w:rPr>
          <w:rFonts w:ascii="Times New Roman" w:eastAsia="Times New Roman" w:hAnsi="Times New Roman" w:cs="Times New Roman"/>
          <w:color w:val="000000"/>
          <w:sz w:val="21"/>
          <w:shd w:val="clear" w:color="auto" w:fill="auto"/>
          <w:vertAlign w:val="baseline"/>
        </w:rPr>
        <w:t xml:space="preserve"> ，①</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随着都柏林金融服务业的蓬勃发展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经济繁荣促使办公场地需求增加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进而带动租金整体上涨</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服务中心仅分散到都柏林地区的部分小城镇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覆盖范围有限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难以推动国内经济均衡发展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反而可能因都柏林经济快速发展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进一步拉大与国内其他地区的差距</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综上</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，A、B、D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4．</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A</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依据图示信息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通过对比各区间人口规模占比数据来判断人口规模大小</w:t>
      </w:r>
      <w:r>
        <w:rPr>
          <w:rFonts w:ascii="Times New Roman" w:eastAsia="Times New Roman" w:hAnsi="Times New Roman" w:cs="Times New Roman"/>
          <w:color w:val="000000"/>
          <w:sz w:val="21"/>
          <w:shd w:val="clear" w:color="auto" w:fill="auto"/>
          <w:vertAlign w:val="baseline"/>
        </w:rPr>
        <w:t xml:space="preserve">。Ⅱ </w:t>
      </w:r>
      <w:r>
        <w:rPr>
          <w:rFonts w:ascii="宋体" w:eastAsia="宋体" w:hAnsi="宋体" w:cs="宋体"/>
          <w:color w:val="000000"/>
          <w:sz w:val="21"/>
          <w:shd w:val="clear" w:color="auto" w:fill="auto"/>
          <w:vertAlign w:val="baseline"/>
        </w:rPr>
        <w:t>区间人口规模占比小于</w:t>
      </w:r>
      <w:r>
        <w:rPr>
          <w:rFonts w:ascii="Times New Roman" w:eastAsia="Times New Roman" w:hAnsi="Times New Roman" w:cs="Times New Roman"/>
          <w:color w:val="000000"/>
          <w:sz w:val="21"/>
          <w:shd w:val="clear" w:color="auto" w:fill="auto"/>
          <w:vertAlign w:val="baseline"/>
        </w:rPr>
        <w:t xml:space="preserve"> 15% ，</w:t>
      </w:r>
      <w:r>
        <w:rPr>
          <w:rFonts w:ascii="宋体" w:eastAsia="宋体" w:hAnsi="宋体" w:cs="宋体"/>
          <w:color w:val="000000"/>
          <w:sz w:val="21"/>
          <w:shd w:val="clear" w:color="auto" w:fill="auto"/>
          <w:vertAlign w:val="baseline"/>
        </w:rPr>
        <w:t>而</w:t>
      </w:r>
      <w:r>
        <w:rPr>
          <w:rFonts w:ascii="Times New Roman" w:eastAsia="Times New Roman" w:hAnsi="Times New Roman" w:cs="Times New Roman"/>
          <w:color w:val="000000"/>
          <w:sz w:val="21"/>
          <w:shd w:val="clear" w:color="auto" w:fill="auto"/>
          <w:vertAlign w:val="baseline"/>
        </w:rPr>
        <w:t xml:space="preserve"> Ⅳ </w:t>
      </w:r>
      <w:r>
        <w:rPr>
          <w:rFonts w:ascii="宋体" w:eastAsia="宋体" w:hAnsi="宋体" w:cs="宋体"/>
          <w:color w:val="000000"/>
          <w:sz w:val="21"/>
          <w:shd w:val="clear" w:color="auto" w:fill="auto"/>
          <w:vertAlign w:val="baseline"/>
        </w:rPr>
        <w:t>区间人口规模占比大于</w:t>
      </w:r>
      <w:r>
        <w:rPr>
          <w:rFonts w:ascii="Times New Roman" w:eastAsia="Times New Roman" w:hAnsi="Times New Roman" w:cs="Times New Roman"/>
          <w:color w:val="000000"/>
          <w:sz w:val="21"/>
          <w:shd w:val="clear" w:color="auto" w:fill="auto"/>
          <w:vertAlign w:val="baseline"/>
        </w:rPr>
        <w:t xml:space="preserve"> 15%，</w:t>
      </w:r>
      <w:r>
        <w:rPr>
          <w:rFonts w:ascii="宋体" w:eastAsia="宋体" w:hAnsi="宋体" w:cs="宋体"/>
          <w:color w:val="000000"/>
          <w:sz w:val="21"/>
          <w:shd w:val="clear" w:color="auto" w:fill="auto"/>
          <w:vertAlign w:val="baseline"/>
        </w:rPr>
        <w:t>显然</w:t>
      </w:r>
      <w:r>
        <w:rPr>
          <w:rFonts w:ascii="Times New Roman" w:eastAsia="Times New Roman" w:hAnsi="Times New Roman" w:cs="Times New Roman"/>
          <w:color w:val="000000"/>
          <w:sz w:val="21"/>
          <w:shd w:val="clear" w:color="auto" w:fill="auto"/>
          <w:vertAlign w:val="baseline"/>
        </w:rPr>
        <w:t xml:space="preserve"> Ⅱ </w:t>
      </w:r>
      <w:r>
        <w:rPr>
          <w:rFonts w:ascii="宋体" w:eastAsia="宋体" w:hAnsi="宋体" w:cs="宋体"/>
          <w:color w:val="000000"/>
          <w:sz w:val="21"/>
          <w:shd w:val="clear" w:color="auto" w:fill="auto"/>
          <w:vertAlign w:val="baseline"/>
        </w:rPr>
        <w:t>区间的人口规模小于</w:t>
      </w:r>
      <w:r>
        <w:rPr>
          <w:rFonts w:ascii="Times New Roman" w:eastAsia="Times New Roman" w:hAnsi="Times New Roman" w:cs="Times New Roman"/>
          <w:color w:val="000000"/>
          <w:sz w:val="21"/>
          <w:shd w:val="clear" w:color="auto" w:fill="auto"/>
          <w:vertAlign w:val="baseline"/>
        </w:rPr>
        <w:t xml:space="preserve"> Ⅳ </w:t>
      </w:r>
      <w:r>
        <w:rPr>
          <w:rFonts w:ascii="宋体" w:eastAsia="宋体" w:hAnsi="宋体" w:cs="宋体"/>
          <w:color w:val="000000"/>
          <w:sz w:val="21"/>
          <w:shd w:val="clear" w:color="auto" w:fill="auto"/>
          <w:vertAlign w:val="baseline"/>
        </w:rPr>
        <w:t>区间</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从图中能明显看出</w:t>
      </w:r>
      <w:r>
        <w:rPr>
          <w:rFonts w:ascii="Times New Roman" w:eastAsia="Times New Roman" w:hAnsi="Times New Roman" w:cs="Times New Roman"/>
          <w:color w:val="000000"/>
          <w:sz w:val="21"/>
          <w:shd w:val="clear" w:color="auto" w:fill="auto"/>
          <w:vertAlign w:val="baseline"/>
        </w:rPr>
        <w:t xml:space="preserve">，VIII </w:t>
      </w:r>
      <w:r>
        <w:rPr>
          <w:rFonts w:ascii="宋体" w:eastAsia="宋体" w:hAnsi="宋体" w:cs="宋体"/>
          <w:color w:val="000000"/>
          <w:sz w:val="21"/>
          <w:shd w:val="clear" w:color="auto" w:fill="auto"/>
          <w:vertAlign w:val="baseline"/>
        </w:rPr>
        <w:t>区间的人口规模占比在所有区间中最大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在整体人口总数固定的情况下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占比越大则对应的人口数量越多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 xml:space="preserve"> VIII </w:t>
      </w:r>
      <w:r>
        <w:rPr>
          <w:rFonts w:ascii="宋体" w:eastAsia="宋体" w:hAnsi="宋体" w:cs="宋体"/>
          <w:color w:val="000000"/>
          <w:sz w:val="21"/>
          <w:shd w:val="clear" w:color="auto" w:fill="auto"/>
          <w:vertAlign w:val="baseline"/>
        </w:rPr>
        <w:t>区间人口数量最多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w:t>
      </w:r>
      <w:r>
        <w:rPr>
          <w:rFonts w:ascii="Times New Roman" w:eastAsia="Times New Roman" w:hAnsi="Times New Roman" w:cs="Times New Roman"/>
          <w:color w:val="000000"/>
          <w:sz w:val="21"/>
          <w:shd w:val="clear" w:color="auto" w:fill="auto"/>
          <w:vertAlign w:val="baseline"/>
        </w:rPr>
        <w:t xml:space="preserve"> B </w:t>
      </w:r>
      <w:r>
        <w:rPr>
          <w:rFonts w:ascii="宋体" w:eastAsia="宋体" w:hAnsi="宋体" w:cs="宋体"/>
          <w:color w:val="000000"/>
          <w:sz w:val="21"/>
          <w:shd w:val="clear" w:color="auto" w:fill="auto"/>
          <w:vertAlign w:val="baseline"/>
        </w:rPr>
        <w:t>选项所说情况</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 xml:space="preserve">；Ⅵ </w:t>
      </w:r>
      <w:r>
        <w:rPr>
          <w:rFonts w:ascii="宋体" w:eastAsia="宋体" w:hAnsi="宋体" w:cs="宋体"/>
          <w:color w:val="000000"/>
          <w:sz w:val="21"/>
          <w:shd w:val="clear" w:color="auto" w:fill="auto"/>
          <w:vertAlign w:val="baseline"/>
        </w:rPr>
        <w:t>区间人口数量比重经观察小于</w:t>
      </w:r>
      <w:r>
        <w:rPr>
          <w:rFonts w:ascii="Times New Roman" w:eastAsia="Times New Roman" w:hAnsi="Times New Roman" w:cs="Times New Roman"/>
          <w:color w:val="000000"/>
          <w:sz w:val="21"/>
          <w:shd w:val="clear" w:color="auto" w:fill="auto"/>
          <w:vertAlign w:val="baseline"/>
        </w:rPr>
        <w:t xml:space="preserve"> 10%，C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 xml:space="preserve">；VII </w:t>
      </w:r>
      <w:r>
        <w:rPr>
          <w:rFonts w:ascii="宋体" w:eastAsia="宋体" w:hAnsi="宋体" w:cs="宋体"/>
          <w:color w:val="000000"/>
          <w:sz w:val="21"/>
          <w:shd w:val="clear" w:color="auto" w:fill="auto"/>
          <w:vertAlign w:val="baseline"/>
        </w:rPr>
        <w:t>区间人口规模占比大于</w:t>
      </w:r>
      <w:r>
        <w:rPr>
          <w:rFonts w:ascii="Times New Roman" w:eastAsia="Times New Roman" w:hAnsi="Times New Roman" w:cs="Times New Roman"/>
          <w:color w:val="000000"/>
          <w:sz w:val="21"/>
          <w:shd w:val="clear" w:color="auto" w:fill="auto"/>
          <w:vertAlign w:val="baseline"/>
        </w:rPr>
        <w:t xml:space="preserve"> 10%，V </w:t>
      </w:r>
      <w:r>
        <w:rPr>
          <w:rFonts w:ascii="宋体" w:eastAsia="宋体" w:hAnsi="宋体" w:cs="宋体"/>
          <w:color w:val="000000"/>
          <w:sz w:val="21"/>
          <w:shd w:val="clear" w:color="auto" w:fill="auto"/>
          <w:vertAlign w:val="baseline"/>
        </w:rPr>
        <w:t>区间人口规模占比小于</w:t>
      </w:r>
      <w:r>
        <w:rPr>
          <w:rFonts w:ascii="Times New Roman" w:eastAsia="Times New Roman" w:hAnsi="Times New Roman" w:cs="Times New Roman"/>
          <w:color w:val="000000"/>
          <w:sz w:val="21"/>
          <w:shd w:val="clear" w:color="auto" w:fill="auto"/>
          <w:vertAlign w:val="baseline"/>
        </w:rPr>
        <w:t xml:space="preserve"> 10% ，</w:t>
      </w:r>
      <w:r>
        <w:rPr>
          <w:rFonts w:ascii="宋体" w:eastAsia="宋体" w:hAnsi="宋体" w:cs="宋体"/>
          <w:color w:val="000000"/>
          <w:sz w:val="21"/>
          <w:shd w:val="clear" w:color="auto" w:fill="auto"/>
          <w:vertAlign w:val="baseline"/>
        </w:rPr>
        <w:t>由此可知</w:t>
      </w:r>
      <w:r>
        <w:rPr>
          <w:rFonts w:ascii="Times New Roman" w:eastAsia="Times New Roman" w:hAnsi="Times New Roman" w:cs="Times New Roman"/>
          <w:color w:val="000000"/>
          <w:sz w:val="21"/>
          <w:shd w:val="clear" w:color="auto" w:fill="auto"/>
          <w:vertAlign w:val="baseline"/>
        </w:rPr>
        <w:t xml:space="preserve"> VII </w:t>
      </w:r>
      <w:r>
        <w:rPr>
          <w:rFonts w:ascii="宋体" w:eastAsia="宋体" w:hAnsi="宋体" w:cs="宋体"/>
          <w:color w:val="000000"/>
          <w:sz w:val="21"/>
          <w:shd w:val="clear" w:color="auto" w:fill="auto"/>
          <w:vertAlign w:val="baseline"/>
        </w:rPr>
        <w:t>区间的人口规模大于</w:t>
      </w:r>
      <w:r>
        <w:rPr>
          <w:rFonts w:ascii="Times New Roman" w:eastAsia="Times New Roman" w:hAnsi="Times New Roman" w:cs="Times New Roman"/>
          <w:color w:val="000000"/>
          <w:sz w:val="21"/>
          <w:shd w:val="clear" w:color="auto" w:fill="auto"/>
          <w:vertAlign w:val="baseline"/>
        </w:rPr>
        <w:t xml:space="preserve"> V </w:t>
      </w:r>
      <w:r>
        <w:rPr>
          <w:rFonts w:ascii="宋体" w:eastAsia="宋体" w:hAnsi="宋体" w:cs="宋体"/>
          <w:color w:val="000000"/>
          <w:sz w:val="21"/>
          <w:shd w:val="clear" w:color="auto" w:fill="auto"/>
          <w:vertAlign w:val="baseline"/>
        </w:rPr>
        <w:t>区间</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在当下社会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经济因素常常是影响人口迁移的主导因素</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一个地区若经济发展态势良好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能够创造大量的就业岗位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具备较高的就业承载能力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就会吸引大量人口流入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近年来广州市南沙区法人单位数量占全市比重位次上升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这表明南沙区企业数量不断增加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进而提供了更多的就业机会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就业承载力得以提升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这种良好的就业环境成为吸引人口的关键因素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促使广州市未来人口分布向南沙区扩张</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南沙区不在主城区范围内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与主城区之间存在较远的通勤距离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通勤时间较长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这在一定程度上会阻碍人口向南沙区流动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不利于人口扩张</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和主城区相比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南沙区在基础设施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医疗卫生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文化教育等方面并没有突出优势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难以凭借这些条件吸引大量人口流入</w:t>
      </w:r>
      <w:r>
        <w:rPr>
          <w:rFonts w:ascii="Times New Roman" w:eastAsia="Times New Roman" w:hAnsi="Times New Roman" w:cs="Times New Roman"/>
          <w:color w:val="000000"/>
          <w:sz w:val="21"/>
          <w:shd w:val="clear" w:color="auto" w:fill="auto"/>
          <w:vertAlign w:val="baseline"/>
        </w:rPr>
        <w:t xml:space="preserve">，C、D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6．</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8．</w:t>
      </w:r>
      <w:r>
        <w:rPr>
          <w:rFonts w:ascii="Times New Roman" w:eastAsia="Times New Roman" w:hAnsi="Times New Roman" w:cs="Times New Roman"/>
          <w:color w:val="000000"/>
          <w:sz w:val="21"/>
          <w:shd w:val="clear" w:color="auto" w:fill="auto"/>
          <w:vertAlign w:val="baseline"/>
        </w:rPr>
        <w:t>A</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判断屿北村的布局特征需要结合其地理位置与功能分区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从图中信息可知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屿北村位于河流一侧</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而</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图中河流两侧均分布有居住区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与屿北村实际情况不符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不能作为屿北村的布局图</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屿北村地处山麓河谷地带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在这样的地理环境下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为了方便获取生活用水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居民区通常会靠近河流分布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耕地一般位于居民区和林地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之间地势相对平坦的区域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这样既便于居民耕种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又能合理利用土地资源</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的布局符合这一特点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w:t>
      </w:r>
      <w:r>
        <w:rPr>
          <w:rFonts w:ascii="Times New Roman" w:eastAsia="Times New Roman" w:hAnsi="Times New Roman" w:cs="Times New Roman"/>
          <w:color w:val="000000"/>
          <w:sz w:val="21"/>
          <w:shd w:val="clear" w:color="auto" w:fill="auto"/>
          <w:vertAlign w:val="baseline"/>
        </w:rPr>
        <w:t>②④</w:t>
      </w:r>
      <w:r>
        <w:rPr>
          <w:rFonts w:ascii="宋体" w:eastAsia="宋体" w:hAnsi="宋体" w:cs="宋体"/>
          <w:color w:val="000000"/>
          <w:sz w:val="21"/>
          <w:shd w:val="clear" w:color="auto" w:fill="auto"/>
          <w:vertAlign w:val="baseline"/>
        </w:rPr>
        <w:t>不符合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 xml:space="preserve"> 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该传统村落由南向北发展过程中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院落空间形态呈现出</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小型房屋</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中型院落</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房族大院</w:t>
      </w:r>
      <w:r>
        <w:rPr>
          <w:rFonts w:ascii="Times New Roman" w:eastAsia="Times New Roman" w:hAnsi="Times New Roman" w:cs="Times New Roman"/>
          <w:color w:val="000000"/>
          <w:sz w:val="21"/>
          <w:shd w:val="clear" w:color="auto" w:fill="auto"/>
          <w:vertAlign w:val="baseline"/>
        </w:rPr>
        <w:t xml:space="preserve"> - </w:t>
      </w:r>
      <w:r>
        <w:rPr>
          <w:rFonts w:ascii="宋体" w:eastAsia="宋体" w:hAnsi="宋体" w:cs="宋体"/>
          <w:color w:val="000000"/>
          <w:sz w:val="21"/>
          <w:shd w:val="clear" w:color="auto" w:fill="auto"/>
          <w:vertAlign w:val="baseline"/>
        </w:rPr>
        <w:t>族群单元</w:t>
      </w:r>
      <w:r>
        <w:rPr>
          <w:rFonts w:ascii="Times New Roman" w:eastAsia="Times New Roman" w:hAnsi="Times New Roman" w:cs="Times New Roman"/>
          <w:color w:val="000000"/>
          <w:sz w:val="21"/>
          <w:shd w:val="clear" w:color="auto" w:fill="auto"/>
          <w:vertAlign w:val="baseline"/>
        </w:rPr>
        <w:t xml:space="preserve">” 4 </w:t>
      </w:r>
      <w:r>
        <w:rPr>
          <w:rFonts w:ascii="宋体" w:eastAsia="宋体" w:hAnsi="宋体" w:cs="宋体"/>
          <w:color w:val="000000"/>
          <w:sz w:val="21"/>
          <w:shd w:val="clear" w:color="auto" w:fill="auto"/>
          <w:vertAlign w:val="baseline"/>
        </w:rPr>
        <w:t>个层级的变化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且院落规模逐渐扩大</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这种变化的主要原因在于家族的繁衍发展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随着家族人口数量不断增多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原有的小型院落无法满足居住需求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为了容纳更多家族成员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院落规模逐步扩大</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在村落发展过程中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地理环境并没有发生显著改变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所以院落空间形态的层级形成并非是为了适应地理环境</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院落空间形态层级的变化主要体现在规模大小上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与道路交通的演变没有直接的因果关系</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虽然扩大院落规模在一定程度上能改善居住条件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但改善居住条件的方式多样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并非一定要通过不断扩大院落规模来实现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所以居住条件改善并非是形成这种院落空间形态层级的主要原因</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宗祠在传统村落中通常承担着同族人共同祭祀祖先的重要功能</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一般会选址在村落中心位置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以体现其重要性和中心地位</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但在这个村落中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宗祠却未处于村落中心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这主要是因为宗祠建立后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随着家族的繁衍发展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村落不断由南向北扩张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新的居住区域不断形成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导致原本位于中心的宗祠在村落发展过程中逐渐偏离了中心位置</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聚落布局的常规逻辑是将宗祠布局在村落中心</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选项的说法与实际情况不符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从题目所给图文材料中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无法获取街巷格局和风俗习惯相关信息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也没有证据表明这两个因素导致宗祠未处于村落中心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 xml:space="preserve"> 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9．</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10．</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D</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丙河段处于河流下游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在该区域大量开采砂砾会对河床和水位产生直接影响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由于开采砂砾主要是从河床向下挖掘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大量采挖会使河床中的沉积物减少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导致河床高度下降</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而水位与河床高度紧密相关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河床下降后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水位也会随之降低</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开采砂砾的作业方向主要是垂直向下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并非向河道两侧挖掘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所以不会使河道横向拓宽</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河流流量大小主要取决于上游来水量的多少以及河流的补给方式和补给量</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大量开采砂砾这一行为并没有增加河流的补给来源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因此不会导致河流流量增大</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河流水动力强弱和沉积恢复速度与河流流量密切相关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流量越小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水动力越弱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沉积恢复也越慢</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该河流位于西班牙东部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是一条季节性河流且注入地中海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由此可知其处于地中海气候区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地中海气候的特点是夏季炎热干燥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冬季温和湿润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在夏季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由于降水稀少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同时气温高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蒸发旺盛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河流的补给量极少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导致河流流量大幅减少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甚至可能出现断流现象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在一年之中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该河流水动力最弱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沉积恢复最慢的季节是夏季</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丙河道因过去过度开采砂砾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导致河道结构遭到严重破坏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当前促进丙河段河道沉积恢复的关键在于增加河道内的泥沙沉积量</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甲河段位于丙河段的更上游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在甲河段植树造林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植被会拦截</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固定泥沙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减少河流携带的泥沙量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使得输送到丙河段的泥沙相应减少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不利于丙河段的泥沙淤积</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在甲河段实施冲淤排沙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能够将甲河段淤积的泥沙冲刷并携带至下游的丙河段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从而增加丙河段的泥沙量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有助于丙河道的泥沙沉积</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乙河段同样位于丙河段上游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对乙河段进行裁弯取直后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河道变得顺直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河流流速加快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水流的侵蚀能力增强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会携带更多的泥沙向下游输送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进而增加丙河段的泥沙量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利于丙河道的泥沙沉积</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虽然人工补沙可以直接增加丙河段的泥沙量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但该措施需要耗费大量的人力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物力和财力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工程量巨大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从经济和可行性角度考虑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并非最合理的治理措施</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综上</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，A、B、C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14．</w:t>
      </w:r>
      <w:r>
        <w:rPr>
          <w:rFonts w:ascii="Times New Roman" w:eastAsia="Times New Roman" w:hAnsi="Times New Roman" w:cs="Times New Roman"/>
          <w:color w:val="000000"/>
          <w:sz w:val="21"/>
          <w:shd w:val="clear" w:color="auto" w:fill="auto"/>
          <w:vertAlign w:val="baseline"/>
        </w:rPr>
        <w:t>D</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通过分析图中信息可知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w:t>
      </w:r>
      <w:r>
        <w:rPr>
          <w:rFonts w:ascii="Times New Roman" w:eastAsia="Times New Roman" w:hAnsi="Times New Roman" w:cs="Times New Roman"/>
          <w:color w:val="000000"/>
          <w:sz w:val="21"/>
          <w:shd w:val="clear" w:color="auto" w:fill="auto"/>
          <w:vertAlign w:val="baseline"/>
        </w:rPr>
        <w:t xml:space="preserve"> 1990 - 2000 </w:t>
      </w:r>
      <w:r>
        <w:rPr>
          <w:rFonts w:ascii="宋体" w:eastAsia="宋体" w:hAnsi="宋体" w:cs="宋体"/>
          <w:color w:val="000000"/>
          <w:sz w:val="21"/>
          <w:shd w:val="clear" w:color="auto" w:fill="auto"/>
          <w:vertAlign w:val="baseline"/>
        </w:rPr>
        <w:t>年和</w:t>
      </w:r>
      <w:r>
        <w:rPr>
          <w:rFonts w:ascii="Times New Roman" w:eastAsia="Times New Roman" w:hAnsi="Times New Roman" w:cs="Times New Roman"/>
          <w:color w:val="000000"/>
          <w:sz w:val="21"/>
          <w:shd w:val="clear" w:color="auto" w:fill="auto"/>
          <w:vertAlign w:val="baseline"/>
        </w:rPr>
        <w:t xml:space="preserve"> 2000 - 2010 </w:t>
      </w:r>
      <w:r>
        <w:rPr>
          <w:rFonts w:ascii="宋体" w:eastAsia="宋体" w:hAnsi="宋体" w:cs="宋体"/>
          <w:color w:val="000000"/>
          <w:sz w:val="21"/>
          <w:shd w:val="clear" w:color="auto" w:fill="auto"/>
          <w:vertAlign w:val="baseline"/>
        </w:rPr>
        <w:t>年这两个时间段内高寒荒漠的面积变化均以萎缩为主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且萎缩数值高于扩张数值</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进一步对比发现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w:t>
      </w:r>
      <w:r>
        <w:rPr>
          <w:rFonts w:ascii="Times New Roman" w:eastAsia="Times New Roman" w:hAnsi="Times New Roman" w:cs="Times New Roman"/>
          <w:color w:val="000000"/>
          <w:sz w:val="21"/>
          <w:shd w:val="clear" w:color="auto" w:fill="auto"/>
          <w:vertAlign w:val="baseline"/>
        </w:rPr>
        <w:t xml:space="preserve"> 1990 - 2000 </w:t>
      </w:r>
      <w:r>
        <w:rPr>
          <w:rFonts w:ascii="宋体" w:eastAsia="宋体" w:hAnsi="宋体" w:cs="宋体"/>
          <w:color w:val="000000"/>
          <w:sz w:val="21"/>
          <w:shd w:val="clear" w:color="auto" w:fill="auto"/>
          <w:vertAlign w:val="baseline"/>
        </w:rPr>
        <w:t>年相比</w:t>
      </w:r>
      <w:r>
        <w:rPr>
          <w:rFonts w:ascii="Times New Roman" w:eastAsia="Times New Roman" w:hAnsi="Times New Roman" w:cs="Times New Roman"/>
          <w:color w:val="000000"/>
          <w:sz w:val="21"/>
          <w:shd w:val="clear" w:color="auto" w:fill="auto"/>
          <w:vertAlign w:val="baseline"/>
        </w:rPr>
        <w:t xml:space="preserve">，2000 - 2010 </w:t>
      </w:r>
      <w:r>
        <w:rPr>
          <w:rFonts w:ascii="宋体" w:eastAsia="宋体" w:hAnsi="宋体" w:cs="宋体"/>
          <w:color w:val="000000"/>
          <w:sz w:val="21"/>
          <w:shd w:val="clear" w:color="auto" w:fill="auto"/>
          <w:vertAlign w:val="baseline"/>
        </w:rPr>
        <w:t>年高寒荒漠萎缩和扩张的差值呈现减小趋势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这表明高寒荒漠总面积的萎缩速度在逐渐放缓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从影响植被生长和荒漠变化的因素来看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气温升高会影响植被生长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若气温升高幅度减小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适合高寒草甸生长的热量条件变化趋缓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高寒草甸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生长速度变慢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植被覆盖率提高的速度也随之变慢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对高寒荒漠的抑制作用减弱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从而使得高寒荒漠的萎缩速度趋缓</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而如果气温升高幅度增大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植被生长速度加快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会加速高寒荒漠的萎缩</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 xml:space="preserve">；C、D </w:t>
      </w:r>
      <w:r>
        <w:rPr>
          <w:rFonts w:ascii="宋体" w:eastAsia="宋体" w:hAnsi="宋体" w:cs="宋体"/>
          <w:color w:val="000000"/>
          <w:sz w:val="21"/>
          <w:shd w:val="clear" w:color="auto" w:fill="auto"/>
          <w:vertAlign w:val="baseline"/>
        </w:rPr>
        <w:t>选项中所述内容与图示反映的高寒荒漠萎缩趋缓现象不符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根据自然地理环境的分布规律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在山地地区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通常海拔越高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山地面积越小</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该研究区域处于高山草甸与高寒荒漠的交错地带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按照自然植被的垂直分布规律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低海拔区域热量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水分等条件相对较好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更适宜高寒草甸生长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所以低海拔处以高寒草甸为主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高海拔区域热量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水分等条件较差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更适合高寒荒漠分布</w:t>
      </w:r>
      <w:r>
        <w:rPr>
          <w:rFonts w:ascii="Times New Roman" w:eastAsia="Times New Roman" w:hAnsi="Times New Roman" w:cs="Times New Roman"/>
          <w:color w:val="000000"/>
          <w:sz w:val="21"/>
          <w:shd w:val="clear" w:color="auto" w:fill="auto"/>
          <w:vertAlign w:val="baseline"/>
        </w:rPr>
        <w:t xml:space="preserve">。3600 - 3700 </w:t>
      </w:r>
      <w:r>
        <w:rPr>
          <w:rFonts w:ascii="宋体" w:eastAsia="宋体" w:hAnsi="宋体" w:cs="宋体"/>
          <w:color w:val="000000"/>
          <w:sz w:val="21"/>
          <w:shd w:val="clear" w:color="auto" w:fill="auto"/>
          <w:vertAlign w:val="baseline"/>
        </w:rPr>
        <w:t>米相较于</w:t>
      </w:r>
      <w:r>
        <w:rPr>
          <w:rFonts w:ascii="Times New Roman" w:eastAsia="Times New Roman" w:hAnsi="Times New Roman" w:cs="Times New Roman"/>
          <w:color w:val="000000"/>
          <w:sz w:val="21"/>
          <w:shd w:val="clear" w:color="auto" w:fill="auto"/>
          <w:vertAlign w:val="baseline"/>
        </w:rPr>
        <w:t xml:space="preserve"> 3700 - 3800 </w:t>
      </w:r>
      <w:r>
        <w:rPr>
          <w:rFonts w:ascii="宋体" w:eastAsia="宋体" w:hAnsi="宋体" w:cs="宋体"/>
          <w:color w:val="000000"/>
          <w:sz w:val="21"/>
          <w:shd w:val="clear" w:color="auto" w:fill="auto"/>
          <w:vertAlign w:val="baseline"/>
        </w:rPr>
        <w:t>米海拔更低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一方面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此海拔高度的山地面积较大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为高寒草甸提供了更广阔的生长空间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使得高寒草甸分布面积较大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从而压缩了高寒荒漠的分布范围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另一方面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海拔较低处热量条件相对较好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更有利于高寒草甸生长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不利于高寒荒漠扩张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因此在</w:t>
      </w:r>
      <w:r>
        <w:rPr>
          <w:rFonts w:ascii="Times New Roman" w:eastAsia="Times New Roman" w:hAnsi="Times New Roman" w:cs="Times New Roman"/>
          <w:color w:val="000000"/>
          <w:sz w:val="21"/>
          <w:shd w:val="clear" w:color="auto" w:fill="auto"/>
          <w:vertAlign w:val="baseline"/>
        </w:rPr>
        <w:t xml:space="preserve"> 1990 - 2000 </w:t>
      </w:r>
      <w:r>
        <w:rPr>
          <w:rFonts w:ascii="宋体" w:eastAsia="宋体" w:hAnsi="宋体" w:cs="宋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 xml:space="preserve">，3600 - 3700 </w:t>
      </w:r>
      <w:r>
        <w:rPr>
          <w:rFonts w:ascii="宋体" w:eastAsia="宋体" w:hAnsi="宋体" w:cs="宋体"/>
          <w:color w:val="000000"/>
          <w:sz w:val="21"/>
          <w:shd w:val="clear" w:color="auto" w:fill="auto"/>
          <w:vertAlign w:val="baseline"/>
        </w:rPr>
        <w:t>米处高寒荒漠萎缩面积小</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选项中关于</w:t>
      </w:r>
      <w:r>
        <w:rPr>
          <w:rFonts w:ascii="Times New Roman" w:eastAsia="Times New Roman" w:hAnsi="Times New Roman" w:cs="Times New Roman"/>
          <w:color w:val="000000"/>
          <w:sz w:val="21"/>
          <w:shd w:val="clear" w:color="auto" w:fill="auto"/>
          <w:vertAlign w:val="baseline"/>
        </w:rPr>
        <w:t xml:space="preserve"> 3600 - 3700 </w:t>
      </w:r>
      <w:r>
        <w:rPr>
          <w:rFonts w:ascii="宋体" w:eastAsia="宋体" w:hAnsi="宋体" w:cs="宋体"/>
          <w:color w:val="000000"/>
          <w:sz w:val="21"/>
          <w:shd w:val="clear" w:color="auto" w:fill="auto"/>
          <w:vertAlign w:val="baseline"/>
        </w:rPr>
        <w:t>米热量条件好适合高寒草甸生长的表述正确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但这并非是该区域高寒荒漠萎缩面积小的直接原因</w:t>
      </w:r>
      <w:r>
        <w:rPr>
          <w:rFonts w:ascii="Times New Roman" w:eastAsia="Times New Roman" w:hAnsi="Times New Roman" w:cs="Times New Roman"/>
          <w:color w:val="000000"/>
          <w:sz w:val="21"/>
          <w:shd w:val="clear" w:color="auto" w:fill="auto"/>
          <w:vertAlign w:val="baseline"/>
        </w:rPr>
        <w:t xml:space="preserve">；C、D </w:t>
      </w:r>
      <w:r>
        <w:rPr>
          <w:rFonts w:ascii="宋体" w:eastAsia="宋体" w:hAnsi="宋体" w:cs="宋体"/>
          <w:color w:val="000000"/>
          <w:sz w:val="21"/>
          <w:shd w:val="clear" w:color="auto" w:fill="auto"/>
          <w:vertAlign w:val="baseline"/>
        </w:rPr>
        <w:t>选项所述内容不符合该区域自然植被分布与海拔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面积的关系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材料及相关知识表明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高寒荒漠扩张区呈现出零星分布的状态</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这种分布状态体现了自然环境的地方性分异规律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即受局部地区特殊因素的影响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而非整个区域普遍存在的因素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在地方性因素中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局部地区坡度较大可能导致土壤条件不稳定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土壤易被侵蚀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植被难以生长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从而形成有利于高寒荒漠扩张的局部环境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使得高寒荒漠在这些区域呈现零星分布</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海拔高导致热量条件差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风力大导致水分条件差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气温低导致土壤养分少等因素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是影响整片地区自然环境的共性因素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会使得整个区域呈现出相似的自然景观和生态特征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而不会产生局部地区的差异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导致高寒荒漠零星分布</w:t>
      </w:r>
      <w:r>
        <w:rPr>
          <w:rFonts w:ascii="Times New Roman" w:eastAsia="Times New Roman" w:hAnsi="Times New Roman" w:cs="Times New Roman"/>
          <w:color w:val="000000"/>
          <w:sz w:val="21"/>
          <w:shd w:val="clear" w:color="auto" w:fill="auto"/>
          <w:vertAlign w:val="baseline"/>
        </w:rPr>
        <w:t xml:space="preserve">，A、B、C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15．</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16．</w:t>
      </w:r>
      <w:r>
        <w:rPr>
          <w:rFonts w:ascii="Times New Roman" w:eastAsia="Times New Roman" w:hAnsi="Times New Roman" w:cs="Times New Roman"/>
          <w:color w:val="000000"/>
          <w:sz w:val="21"/>
          <w:shd w:val="clear" w:color="auto" w:fill="auto"/>
          <w:vertAlign w:val="baseline"/>
        </w:rPr>
        <w:t>B</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从图</w:t>
      </w:r>
      <w:r>
        <w:rPr>
          <w:rFonts w:ascii="Times New Roman" w:eastAsia="Times New Roman" w:hAnsi="Times New Roman" w:cs="Times New Roman"/>
          <w:color w:val="000000"/>
          <w:sz w:val="21"/>
          <w:shd w:val="clear" w:color="auto" w:fill="auto"/>
          <w:vertAlign w:val="baseline"/>
        </w:rPr>
        <w:t xml:space="preserve"> 2 </w:t>
      </w:r>
      <w:r>
        <w:rPr>
          <w:rFonts w:ascii="宋体" w:eastAsia="宋体" w:hAnsi="宋体" w:cs="宋体"/>
          <w:color w:val="000000"/>
          <w:sz w:val="21"/>
          <w:shd w:val="clear" w:color="auto" w:fill="auto"/>
          <w:vertAlign w:val="baseline"/>
        </w:rPr>
        <w:t>中可知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甲处的</w:t>
      </w:r>
      <w:r>
        <w:rPr>
          <w:rFonts w:ascii="Times New Roman" w:eastAsia="Times New Roman" w:hAnsi="Times New Roman" w:cs="Times New Roman"/>
          <w:color w:val="000000"/>
          <w:sz w:val="21"/>
          <w:shd w:val="clear" w:color="auto" w:fill="auto"/>
          <w:vertAlign w:val="baseline"/>
        </w:rPr>
        <w:t xml:space="preserve"> P </w:t>
      </w:r>
      <w:r>
        <w:rPr>
          <w:rFonts w:ascii="宋体" w:eastAsia="宋体" w:hAnsi="宋体" w:cs="宋体"/>
          <w:color w:val="000000"/>
          <w:sz w:val="21"/>
          <w:shd w:val="clear" w:color="auto" w:fill="auto"/>
          <w:vertAlign w:val="baseline"/>
        </w:rPr>
        <w:t>平均值低于乙处</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这意味着甲处的生理等效温度比乙处低</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造成这种差异的主要原因在于甲处受建筑物和行道树的遮挡更为显著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已知街道呈东西走向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行道树排列方向与街道走向一致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且当天为夏至日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位于</w:t>
      </w:r>
      <w:r>
        <w:rPr>
          <w:rFonts w:ascii="Times New Roman" w:eastAsia="Times New Roman" w:hAnsi="Times New Roman" w:cs="Times New Roman"/>
          <w:color w:val="000000"/>
          <w:sz w:val="21"/>
          <w:shd w:val="clear" w:color="auto" w:fill="auto"/>
          <w:vertAlign w:val="baseline"/>
        </w:rPr>
        <w:t xml:space="preserve"> 48°N </w:t>
      </w:r>
      <w:r>
        <w:rPr>
          <w:rFonts w:ascii="宋体" w:eastAsia="宋体" w:hAnsi="宋体" w:cs="宋体"/>
          <w:color w:val="000000"/>
          <w:sz w:val="21"/>
          <w:shd w:val="clear" w:color="auto" w:fill="auto"/>
          <w:vertAlign w:val="baseline"/>
        </w:rPr>
        <w:t>的该市日出东北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日落西北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正午时太阳位于正南方向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当地时间</w:t>
      </w:r>
      <w:r>
        <w:rPr>
          <w:rFonts w:ascii="Times New Roman" w:eastAsia="Times New Roman" w:hAnsi="Times New Roman" w:cs="Times New Roman"/>
          <w:color w:val="000000"/>
          <w:sz w:val="21"/>
          <w:shd w:val="clear" w:color="auto" w:fill="auto"/>
          <w:vertAlign w:val="baseline"/>
        </w:rPr>
        <w:t xml:space="preserve"> 9 - 15 </w:t>
      </w:r>
      <w:r>
        <w:rPr>
          <w:rFonts w:ascii="宋体" w:eastAsia="宋体" w:hAnsi="宋体" w:cs="宋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太阳的视运动轨迹是从东南逐渐移动到正南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再到西南</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由此详细分析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上午时段太阳在东南方向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甲处会受到东侧行道树的遮阴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下午时段太阳在西南方向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甲处又会受到西侧行道树的遮阴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w:t>
      </w:r>
      <w:r>
        <w:rPr>
          <w:rFonts w:ascii="Times New Roman" w:eastAsia="Times New Roman" w:hAnsi="Times New Roman" w:cs="Times New Roman"/>
          <w:color w:val="000000"/>
          <w:sz w:val="21"/>
          <w:shd w:val="clear" w:color="auto" w:fill="auto"/>
          <w:vertAlign w:val="baseline"/>
        </w:rPr>
        <w:t xml:space="preserve"> 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。B、C </w:t>
      </w:r>
      <w:r>
        <w:rPr>
          <w:rFonts w:ascii="宋体" w:eastAsia="宋体" w:hAnsi="宋体" w:cs="宋体"/>
          <w:color w:val="000000"/>
          <w:sz w:val="21"/>
          <w:shd w:val="clear" w:color="auto" w:fill="auto"/>
          <w:vertAlign w:val="baseline"/>
        </w:rPr>
        <w:t>选项没有准确考虑到太阳视运动与行道树遮阴的关系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甲处并非全时段受到南侧建筑物遮阴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在上午和下午部分时段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太阳位置使得南侧建筑物无法遮挡甲处</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结合材料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当地位于欧洲</w:t>
      </w:r>
      <w:r>
        <w:rPr>
          <w:rFonts w:ascii="Times New Roman" w:eastAsia="Times New Roman" w:hAnsi="Times New Roman" w:cs="Times New Roman"/>
          <w:color w:val="000000"/>
          <w:sz w:val="21"/>
          <w:shd w:val="clear" w:color="auto" w:fill="auto"/>
          <w:vertAlign w:val="baseline"/>
        </w:rPr>
        <w:t>48°N，</w:t>
      </w:r>
      <w:r>
        <w:rPr>
          <w:rFonts w:ascii="宋体" w:eastAsia="宋体" w:hAnsi="宋体" w:cs="宋体"/>
          <w:color w:val="000000"/>
          <w:sz w:val="21"/>
          <w:shd w:val="clear" w:color="auto" w:fill="auto"/>
          <w:vertAlign w:val="baseline"/>
        </w:rPr>
        <w:t>夏至日太阳直射</w:t>
      </w:r>
      <w:r>
        <w:rPr>
          <w:rFonts w:ascii="Times New Roman" w:eastAsia="Times New Roman" w:hAnsi="Times New Roman" w:cs="Times New Roman"/>
          <w:color w:val="000000"/>
          <w:sz w:val="21"/>
          <w:shd w:val="clear" w:color="auto" w:fill="auto"/>
          <w:vertAlign w:val="baseline"/>
        </w:rPr>
        <w:t>23.5°N。</w:t>
      </w:r>
      <w:r>
        <w:rPr>
          <w:rFonts w:ascii="宋体" w:eastAsia="宋体" w:hAnsi="宋体" w:cs="宋体"/>
          <w:color w:val="000000"/>
          <w:sz w:val="21"/>
          <w:shd w:val="clear" w:color="auto" w:fill="auto"/>
          <w:vertAlign w:val="baseline"/>
        </w:rPr>
        <w:t>根据正午太阳高度的计算公式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可以得出夏至日当天当地的正午太阳高度</w:t>
      </w:r>
      <w:r>
        <w:rPr>
          <w:rFonts w:ascii="Times New Roman" w:eastAsia="Times New Roman" w:hAnsi="Times New Roman" w:cs="Times New Roman"/>
          <w:color w:val="000000"/>
          <w:sz w:val="21"/>
          <w:shd w:val="clear" w:color="auto" w:fill="auto"/>
          <w:vertAlign w:val="baseline"/>
        </w:rPr>
        <w:t>H=90°-（48°-23.5°）=65.5°。</w:t>
      </w:r>
      <w:r>
        <w:rPr>
          <w:rFonts w:ascii="宋体" w:eastAsia="宋体" w:hAnsi="宋体" w:cs="宋体"/>
          <w:color w:val="000000"/>
          <w:sz w:val="21"/>
          <w:shd w:val="clear" w:color="auto" w:fill="auto"/>
          <w:vertAlign w:val="baseline"/>
        </w:rPr>
        <w:t>若当地的南建筑物高度减小为</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正午时南侧建筑物的影子长度大致为</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÷2.19=4.57</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根据图</w:t>
      </w: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乙处位于南侧建筑物北方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距离约为</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大于</w:t>
      </w:r>
      <w:r>
        <w:rPr>
          <w:rFonts w:ascii="Times New Roman" w:eastAsia="Times New Roman" w:hAnsi="Times New Roman" w:cs="Times New Roman"/>
          <w:color w:val="000000"/>
          <w:sz w:val="21"/>
          <w:shd w:val="clear" w:color="auto" w:fill="auto"/>
          <w:vertAlign w:val="baseline"/>
        </w:rPr>
        <w:t>4.57</w:t>
      </w:r>
      <w:r>
        <w:rPr>
          <w:rFonts w:ascii="宋体" w:eastAsia="宋体" w:hAnsi="宋体" w:cs="宋体"/>
          <w:color w:val="000000"/>
          <w:sz w:val="21"/>
          <w:shd w:val="clear" w:color="auto" w:fill="auto"/>
          <w:vertAlign w:val="baseline"/>
        </w:rPr>
        <w:t>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正午时南侧建筑物不能为乙处遮阴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可以为丙处遮阴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因此乙处</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平均值将变大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丙处</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平均值无明显变化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丙两处</w:t>
      </w:r>
      <w:r>
        <w:rPr>
          <w:rFonts w:ascii="Times New Roman" w:eastAsia="Times New Roman" w:hAnsi="Times New Roman" w:cs="Times New Roman"/>
          <w:color w:val="000000"/>
          <w:sz w:val="21"/>
          <w:shd w:val="clear" w:color="auto" w:fill="auto"/>
          <w:vertAlign w:val="baseline"/>
        </w:rPr>
        <w:t>P</w:t>
      </w:r>
      <w:r>
        <w:rPr>
          <w:rFonts w:ascii="宋体" w:eastAsia="宋体" w:hAnsi="宋体" w:cs="宋体"/>
          <w:color w:val="000000"/>
          <w:sz w:val="21"/>
          <w:shd w:val="clear" w:color="auto" w:fill="auto"/>
          <w:vertAlign w:val="baseline"/>
        </w:rPr>
        <w:t>平均值的差异将变大</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，ACD</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center"/>
        <w:textAlignment w:val="center"/>
        <w:rPr>
          <w:rFonts w:ascii="黑体" w:eastAsia="黑体" w:hAnsi="黑体" w:cs="黑体"/>
          <w:b/>
          <w:i w:val="0"/>
          <w:color w:val="000000"/>
          <w:sz w:val="30"/>
        </w:rPr>
      </w:pP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垂直脊田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利于将雨洪期积水快速排入河流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减少积水时间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平行脊田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减缓洪水速度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削弱洪水危害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棋盘脊田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减缓地表径流流速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蓄积雨水</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现代商品农业为规模化生产模式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平坦的地形更利于进行机械化耕作和农田灌溉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而脊田沟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脊相间分布的地形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不利于大规模机械化耕作和灌溉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会降低劳动效率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进而影响收益</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将历史脊田的形态融入居住区规划设计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可以减轻城市雨涝危害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增加城市湿地与绿地面积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改善居住环境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发挥生态效益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可以恢复历史文化景观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提升城市建设的历史文化内涵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同时降低洪灾对居住区的危害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创建健康安全的社会环境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可以带动商业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旅游业发展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增加城市收入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取得良好经济效益</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根据脊田的形态分析其对雨洪的调控作用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结合图示信息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垂直脊田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临近河流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的田垄与坡向一致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可以进行有效排水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在洪水期时将积水迅速排入河流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减少积水的时间和数量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平行脊田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临近河流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的田垄与坡向垂直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大致沿等高线分布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与径流走向垂直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洪水期时平行脊田有助于拦截洪水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减缓洪水流动速度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减轻洪水危害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棋盘脊田的田垄呈网格状分布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距离河流较远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在洪水期时可以减缓地表径流的流速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起到蓄积雨水的作用</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结合材料及所学知识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随着经济的快速发展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农业生产的规模不断扩大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农业呈现规模化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机械化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科技化发展趋势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现代商品农业快速发展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机械化水平不断提升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对大面积集中连片的平坦土地要求更高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而脊田呈现垄沟相间分布或棋盘状分布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不利于大规模机械化作业和大规模灌溉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劳动效率降低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不符合现代化商品农业的需求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可能影响农业收益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导致脊田在现代商品农业中难以存续</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将历史脊田的形态融入到洪泛平原的居住区规划设计可以获得经济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社会等多种效益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从经济效益来看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这种设计有助于保护传统农业遗产景观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可以借助这些景观带动商业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旅游业发展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增加城市经济收入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促进经济发展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从生态效益来看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历史脊田具有良好的蓄水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排水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拦截洪水等功能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这种设计可以有助于居住区减轻雨涝危害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增加湿地与绿地面积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从而改善居民的居住环境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从社会效益来看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这种设计保护了脊田这一农业遗产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有助于恢复历史文化景观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提升城市建设的历史文化内涵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同时降低洪灾对居住区的危害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创建健康安全的社会环境</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甲区域冬季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海洋温度锋空间分布不均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海洋温度锋呈带状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主要分布于山东半岛沿岸和北黄海北部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大陆架海域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甲区域东南海域海洋温度锋不显著</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宋体" w:eastAsia="宋体" w:hAnsi="宋体" w:cs="宋体"/>
          <w:color w:val="000000"/>
          <w:sz w:val="21"/>
          <w:shd w:val="clear" w:color="auto" w:fill="auto"/>
          <w:vertAlign w:val="baseline"/>
        </w:rPr>
        <w:t>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陆地降温快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加上沿岸寒流影响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近岸海水温度低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大陆架外部海水较深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加上受由南向北的暖流影响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海水温度高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大陆架海域海水温度呈现极大的水平梯度分布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海洋温度锋显著</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（2）A</w:t>
      </w:r>
      <w:r>
        <w:rPr>
          <w:rFonts w:ascii="宋体" w:eastAsia="宋体" w:hAnsi="宋体" w:cs="宋体"/>
          <w:color w:val="000000"/>
          <w:sz w:val="21"/>
          <w:shd w:val="clear" w:color="auto" w:fill="auto"/>
          <w:vertAlign w:val="baseline"/>
        </w:rPr>
        <w:t>海域靠近陆地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受陆地径流影响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悬浮物多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浓度高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山东半岛海洋温度锋显著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阻挡海岸陆源物质向外陆架海域输送</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海域悬浮物少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浓度低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受海岸线形态约束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沿岸流挟带陆源物质南下并在</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处聚集</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夏季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夏季河流径流量及输沙量均达到全年峰值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向外陆架海域输送的陆源物质多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夏季整个黄海表层水温普遍升高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海洋温度锋不显著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向外陆架海域输送的陆源物质多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夏季热带气旋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如台风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发生时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强烈的风浪和风暴潮会扰动海水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导致泥沙悬浮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并增强沿岸流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短期内显著增加向外陆架海域输送的陆源物质</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根据图</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中不同灰度的温度水平梯度可以判断海洋温度锋的空间分布规律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主要包括分布趋势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分布区域等角度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读图可知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甲区域冬季海洋温度锋整体呈现不均匀的分布趋势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具体表现为海洋温度锋呈带状分布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主要分布在山东半岛沿岸海域和北黄海北部海域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海水深度较浅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主要为大陆架海域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另外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从图中可以看出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甲区域东南海域表层海水温度水平梯度较小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海洋温度锋不明显</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宋体" w:eastAsia="宋体" w:hAnsi="宋体" w:cs="宋体"/>
          <w:color w:val="000000"/>
          <w:sz w:val="21"/>
          <w:shd w:val="clear" w:color="auto" w:fill="auto"/>
          <w:vertAlign w:val="baseline"/>
        </w:rPr>
        <w:t>冬季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海洋温度锋显著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表明表层海水温度水平梯度较大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即近岸海域与深海区海水温度差异明显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受海陆热力性质差异影响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大陆降温较快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温度较低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近岸海域受陆地影响明显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海水温度较低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另外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受沿岸寒流的降温作用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导致近岸海域海水温度更低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相对而言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大陆架外部的深海区海水深度较大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海水热容量较高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加上由南向北的暖流增温作用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导致深海区海水温度较高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于是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形成明显的近岸海域水温低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深海水温高的分布特点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呈现极大的温度水平梯度分布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形成显著的海洋温度锋</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读图</w:t>
      </w: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海域悬浮物浓度大</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海域悬浮物浓度小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海洋温度锋的存在会阻挡海岸陆源物质向外陆架海域输送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结合上题可知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山东半岛海洋温度锋显著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可以阻挡陆源物质输送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引起</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海域悬浮物来源少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浓度低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相对而言</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海域距离陆地更近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受陆地径流等影响更明显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陆地径流携带大量的悬浮物在</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海域聚集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加上弯曲的海岸线形态影响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沿岸海水携带陆源悬浮物南下也在</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处聚集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处悬浮物数量多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浓度大</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结合材料及可知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山东半岛附近海域陆源物质向外陆架海域输送主要考虑物质来源多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海水扰动大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海洋温度锋被破坏等条件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一般来说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陆源物质输送量大的季节为陆地径流的洪水期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对于山东半岛等地而言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陆地径流洪水期为夏季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河流输沙量大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陆源物质多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夏季太阳直射北半球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山东半岛以东海域海水温度普遍升高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海洋温度锋可能被破坏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有利于陆源物质向外陆架海域输送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另外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我国东南沿海热带气旋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台风等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频发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带来较强的风浪或风暴潮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强风巨浪会剧烈扰动海水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导致沉积的泥沙悬浮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在短期内增强的沿岸流影响下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加剧向外陆架海域输送</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植被覆盖度折线存在错误</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25</w:t>
      </w:r>
      <w:r>
        <w:rPr>
          <w:rFonts w:ascii="宋体" w:eastAsia="宋体" w:hAnsi="宋体" w:cs="宋体"/>
          <w:color w:val="000000"/>
          <w:sz w:val="21"/>
          <w:shd w:val="clear" w:color="auto" w:fill="auto"/>
          <w:vertAlign w:val="baseline"/>
        </w:rPr>
        <w:t>日至</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个时间点植被覆盖度数值错误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是真实数据的</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倍</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（2）4</w:t>
      </w:r>
      <w:r>
        <w:rPr>
          <w:rFonts w:ascii="宋体" w:eastAsia="宋体" w:hAnsi="宋体" w:cs="宋体"/>
          <w:color w:val="000000"/>
          <w:sz w:val="21"/>
          <w:shd w:val="clear" w:color="auto" w:fill="auto"/>
          <w:vertAlign w:val="baseline"/>
        </w:rPr>
        <w:t>月至</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沙垄植被覆盖度先增大后减小</w:t>
      </w: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月植被覆盖度最大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由垄顶经垄坡至垄间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随海拔降低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植被覆盖度呈现增大趋势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垄顶植被覆盖度最小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垄间植被覆盖度最大</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（3）4</w:t>
      </w:r>
      <w:r>
        <w:rPr>
          <w:rFonts w:ascii="宋体" w:eastAsia="宋体" w:hAnsi="宋体" w:cs="宋体"/>
          <w:color w:val="000000"/>
          <w:sz w:val="21"/>
          <w:shd w:val="clear" w:color="auto" w:fill="auto"/>
          <w:vertAlign w:val="baseline"/>
        </w:rPr>
        <w:t>月中上旬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气温逐渐升高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积雪融水补给土壤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加上蒸发和植被根系吸收较弱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土壤含水量呈增加趋势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并在</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日达到最高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进入</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月下旬后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积雪融水补给停止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且气温升高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土壤水分蒸发增加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随着植被覆盖度逐渐增加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植被生长耗水量及蒸腾量逐渐增加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导致土壤含水量持续减少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日降至最低值</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增加沙垄样方数量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加入降水量与蒸发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量数据</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bookmarkStart w:id="0" w:name="_GoBack"/>
      <w:bookmarkEnd w:id="0"/>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对比表中数据与图中数据差异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指出错误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从表中给定数据来看</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样地</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25</w:t>
      </w:r>
      <w:r>
        <w:rPr>
          <w:rFonts w:ascii="宋体" w:eastAsia="宋体" w:hAnsi="宋体" w:cs="宋体"/>
          <w:color w:val="000000"/>
          <w:sz w:val="21"/>
          <w:shd w:val="clear" w:color="auto" w:fill="auto"/>
          <w:vertAlign w:val="baseline"/>
        </w:rPr>
        <w:t>日至</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日的植被覆盖度实际数值分别为</w:t>
      </w:r>
      <w:r>
        <w:rPr>
          <w:rFonts w:ascii="Times New Roman" w:eastAsia="Times New Roman" w:hAnsi="Times New Roman" w:cs="Times New Roman"/>
          <w:color w:val="000000"/>
          <w:sz w:val="21"/>
          <w:shd w:val="clear" w:color="auto" w:fill="auto"/>
          <w:vertAlign w:val="baseline"/>
        </w:rPr>
        <w:t>1%、4%、4%、2%，</w:t>
      </w:r>
      <w:r>
        <w:rPr>
          <w:rFonts w:ascii="宋体" w:eastAsia="宋体" w:hAnsi="宋体" w:cs="宋体"/>
          <w:color w:val="000000"/>
          <w:sz w:val="21"/>
          <w:shd w:val="clear" w:color="auto" w:fill="auto"/>
          <w:vertAlign w:val="baseline"/>
        </w:rPr>
        <w:t>而在绘制的折线图中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这几个时间点折线对应的数值明显偏离实际数据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呈现出过高的覆盖度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是真实数据放大了</w:t>
      </w: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倍</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这属于明显的绘制错误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这种错误可能是在标注数据或绘图过程中出现误读或误写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导致折线图不能真实反映</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样地植被覆盖度的变化情况</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沙垄植被覆盖度时空总体变化特征可以分别从表格中体现的三个采样点时间变化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图中三个采样点空间位置差异描述植被覆盖度的变化特征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从时间变化看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从表中</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月至</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月的数据纵向对比可以看出</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月植被处于萌发初期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沙垄植被覆盖度较低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随着气温升高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积雪融水和土壤水分条件改善</w:t>
      </w: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月植被进入快速生长期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植被覆盖度达到最大</w:t>
      </w:r>
      <w:r>
        <w:rPr>
          <w:rFonts w:ascii="Times New Roman" w:eastAsia="Times New Roman" w:hAnsi="Times New Roman" w:cs="Times New Roman"/>
          <w:color w:val="000000"/>
          <w:sz w:val="21"/>
          <w:shd w:val="clear" w:color="auto" w:fill="auto"/>
          <w:vertAlign w:val="baseline"/>
        </w:rPr>
        <w:t>；6、7</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由于土壤水分逐渐减少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加上气温持续升高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蒸发加剧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植被生长受限并逐渐枯萎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覆盖度减小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整体呈现先增大后减小的趋势</w:t>
      </w: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月为植被生长最为旺盛的时期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从空间变化看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读图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横向对比</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垄顶</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垄坡</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垄间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三个样地的数据</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样地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垄顶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海拔最高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其植被覆盖度始终处于最低水平</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样地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垄坡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次之</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样地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垄间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海拔最低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植被覆盖度最大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这是因为在沙漠环境中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水分是植被生长的关键限制因素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垄顶地势高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积雪融水和降水容易快速流失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难以留存水分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土壤含水量低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不利于植被生长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而垄间地势低洼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积雪融水和降水会向此处汇聚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土壤含水量相对较高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能够为植被提供更好的水分条件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所以植被覆盖度更高</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从水分来源和水分支出两方面分析</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样地土壤含水量变化的趋势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读表可知</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样地</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月份含水量较高且在</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日达最高值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含水量减少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到</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日达最小值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原因是</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月中上旬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气温逐渐回升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冬季积累的稳定积雪开始融化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样地位于垄间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地势较低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积雪融水较多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且补给土壤水分较多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气温还不是很高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蒸发作用较弱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同时植被刚刚开始萌发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根系对水分的吸收量也较少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所以土壤含水量呈现增加趋势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并在</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日达到最高值</w:t>
      </w:r>
      <w:r>
        <w:rPr>
          <w:rFonts w:ascii="Times New Roman" w:eastAsia="Times New Roman" w:hAnsi="Times New Roman" w:cs="Times New Roman"/>
          <w:color w:val="000000"/>
          <w:sz w:val="21"/>
          <w:shd w:val="clear" w:color="auto" w:fill="auto"/>
          <w:vertAlign w:val="baseline"/>
        </w:rPr>
        <w:t>5.6%。</w:t>
      </w:r>
      <w:r>
        <w:rPr>
          <w:rFonts w:ascii="宋体" w:eastAsia="宋体" w:hAnsi="宋体" w:cs="宋体"/>
          <w:color w:val="000000"/>
          <w:sz w:val="21"/>
          <w:shd w:val="clear" w:color="auto" w:fill="auto"/>
          <w:vertAlign w:val="baseline"/>
        </w:rPr>
        <w:t>进入</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月下旬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积雪融水基本补给完毕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后续没有充足的水源补充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随着气温不断升高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蒸发量显著增加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土壤中的水分快速散失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与此同时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植被覆盖度从</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25</w:t>
      </w:r>
      <w:r>
        <w:rPr>
          <w:rFonts w:ascii="宋体" w:eastAsia="宋体" w:hAnsi="宋体" w:cs="宋体"/>
          <w:color w:val="000000"/>
          <w:sz w:val="21"/>
          <w:shd w:val="clear" w:color="auto" w:fill="auto"/>
          <w:vertAlign w:val="baseline"/>
        </w:rPr>
        <w:t>日的</w:t>
      </w: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逐渐增加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植被生长进入旺盛期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根系吸收土壤水分用于自身生长和蒸腾作用的水量大幅增加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而该区域本身年降水量稀少</w:t>
      </w:r>
      <w:r>
        <w:rPr>
          <w:rFonts w:ascii="Times New Roman" w:eastAsia="Times New Roman" w:hAnsi="Times New Roman" w:cs="Times New Roman"/>
          <w:color w:val="000000"/>
          <w:sz w:val="21"/>
          <w:shd w:val="clear" w:color="auto" w:fill="auto"/>
          <w:vertAlign w:val="baseline"/>
        </w:rPr>
        <w:t>（70-130mm），</w:t>
      </w:r>
      <w:r>
        <w:rPr>
          <w:rFonts w:ascii="宋体" w:eastAsia="宋体" w:hAnsi="宋体" w:cs="宋体"/>
          <w:color w:val="000000"/>
          <w:sz w:val="21"/>
          <w:shd w:val="clear" w:color="auto" w:fill="auto"/>
          <w:vertAlign w:val="baseline"/>
        </w:rPr>
        <w:t>无法有效补充土壤水分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多重因素叠加导致土壤含水量持续减少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直至</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日降至最低值</w:t>
      </w:r>
      <w:r>
        <w:rPr>
          <w:rFonts w:ascii="Times New Roman" w:eastAsia="Times New Roman" w:hAnsi="Times New Roman" w:cs="Times New Roman"/>
          <w:color w:val="000000"/>
          <w:sz w:val="21"/>
          <w:shd w:val="clear" w:color="auto" w:fill="auto"/>
          <w:vertAlign w:val="baseline"/>
        </w:rPr>
        <w:t>0.7%。</w:t>
      </w:r>
    </w:p>
    <w:p>
      <w:pPr>
        <w:pStyle w:val="Normal4e71f288-79bc-4f47-8ec5-b2d8e6f416c3"/>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原方案仅在一条典型沙垄上选取</w:t>
      </w:r>
      <w:r>
        <w:rPr>
          <w:rFonts w:ascii="Times New Roman" w:eastAsia="Times New Roman" w:hAnsi="Times New Roman" w:cs="Times New Roman"/>
          <w:color w:val="000000"/>
          <w:sz w:val="21"/>
          <w:shd w:val="clear" w:color="auto" w:fill="auto"/>
          <w:vertAlign w:val="baseline"/>
        </w:rPr>
        <w:t>A、B、C</w:t>
      </w:r>
      <w:r>
        <w:rPr>
          <w:rFonts w:ascii="宋体" w:eastAsia="宋体" w:hAnsi="宋体" w:cs="宋体"/>
          <w:color w:val="000000"/>
          <w:sz w:val="21"/>
          <w:shd w:val="clear" w:color="auto" w:fill="auto"/>
          <w:vertAlign w:val="baseline"/>
        </w:rPr>
        <w:t>三个采样地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样方数量较少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样本的代表性不足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可以通过增加沙垄样方数量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涵盖更多不同条件下的样本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降低因单一沙垄特殊性导致的误差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使调查结果更能反映该沙漠区域沙垄地貌土壤水分与植被生长关系的普遍规律</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r>
        <w:rPr>
          <w:rFonts w:ascii="宋体" w:eastAsia="宋体" w:hAnsi="宋体" w:cs="宋体"/>
          <w:color w:val="000000"/>
          <w:sz w:val="21"/>
          <w:shd w:val="clear" w:color="auto" w:fill="auto"/>
          <w:vertAlign w:val="baseline"/>
        </w:rPr>
        <w:t>植被生长和土壤含水量变化不仅与地形有关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还受到气候因素的显著影响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降水量直接决定了土壤水分的补给来源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而蒸发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量则影响着土壤水分的散失速度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可以加入降水量与蒸发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量数据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建立起土壤含水量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植被生长与气候因素之间的关联模型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更全面地分析土壤水分变化的驱动因素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以及这些因素如何共同作用于植被生长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从而提升调查研究的科学性和深度</w:t>
      </w:r>
      <w:r>
        <w:rPr>
          <w:rFonts w:ascii="Times New Roman" w:eastAsia="Times New Roman" w:hAnsi="Times New Roman" w:cs="Times New Roman"/>
          <w:color w:val="000000"/>
          <w:sz w:val="21"/>
          <w:shd w:val="clear" w:color="auto" w:fill="auto"/>
          <w:vertAlign w:val="baseline"/>
        </w:rPr>
        <w:t>。</w:t>
      </w:r>
    </w:p>
    <w:p>
      <w:pPr>
        <w:pStyle w:val="Normal4e71f288-79bc-4f47-8ec5-b2d8e6f416c3"/>
        <w:spacing w:line="320" w:lineRule="auto"/>
        <w:jc w:val="left"/>
        <w:textAlignment w:val="center"/>
        <w:rPr>
          <w:sz w:val="21"/>
        </w:rPr>
      </w:pPr>
    </w:p>
    <w:sectPr>
      <w:headerReference w:type="even" r:id="rId14"/>
      <w:headerReference w:type="default" r:id="rId15"/>
      <w:footerReference w:type="even" r:id="rId16"/>
      <w:footerReference w:type="default" r:id="rId17"/>
      <w:headerReference w:type="first" r:id="rId18"/>
      <w:pgSz w:w="11900" w:h="16840" w:orient="portrait"/>
      <w:pgMar w:top="998" w:right="1803" w:bottom="1202" w:left="1803" w:header="40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width:245.17pt;height:69.81pt;margin-top:0;margin-left:0;mso-position-horizontal:center;mso-position-horizontal-relative:margin;mso-position-vertical:center;mso-position-vertical-relative:margin;position:absolute;rotation:315;z-index:251658240" o:allowincell="f" fillcolor="white" stroked="f">
          <v:fill opacity="0.5"/>
          <v:textpath style="font-family:'Times New Roman';font-size:64pt" string="试题资源网"/>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6" o:spid="_x0000_s2050" type="#_x0000_t136" style="width:245.17pt;height:69.81pt;margin-top:0;margin-left:0;mso-position-horizontal:center;mso-position-horizontal-relative:margin;mso-position-vertical:center;mso-position-vertical-relative:margin;position:absolute;rotation:315;z-index:251659264" o:allowincell="f" fillcolor="white" stroked="f">
          <v:fill opacity="0.5"/>
          <v:textpath style="font-family:'Times New Roman';font-size:64pt" string="试题资源网"/>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1" type="#_x0000_t136" style="width:245.17pt;height:69.81pt;margin-top:0;margin-left:0;mso-position-horizontal:center;mso-position-horizontal-relative:margin;mso-position-vertical:center;mso-position-vertical-relative:margin;position:absolute;rotation:315;z-index:251660288" o:allowincell="f" fillcolor="white" stroked="f">
          <v:fill opacity="0.5"/>
          <v:textpath style="font-family:'Times New Roman';font-size:64pt" string="试题资源网"/>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宋体" w:eastAsia="宋体" w:hAnsi="宋体" w:cs="宋体"/>
      <w:sz w:val="18"/>
      <w:szCs w:val="24"/>
      <w:lang w:val="en-US" w:eastAsia="uk-UA"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TitleStyle">
    <w:name w:val="subTitleStyle"/>
    <w:basedOn w:val="Normal"/>
    <w:qFormat/>
    <w:rPr>
      <w:rFonts w:ascii="宋体" w:eastAsia="宋体" w:hAnsi="宋体" w:cs="宋体"/>
      <w:b/>
      <w:color w:val="000000"/>
      <w:sz w:val="32"/>
    </w:rPr>
  </w:style>
  <w:style w:type="paragraph" w:customStyle="1" w:styleId="Normal4e71f288-79bc-4f47-8ec5-b2d8e6f416c3">
    <w:name w:val="Normal_4e71f288-79bc-4f47-8ec5-b2d8e6f416c3"/>
    <w:qFormat/>
    <w:rPr>
      <w:rFonts w:ascii="Times New Roman" w:eastAsia="Times New Roman" w:hAnsi="Times New Roman"/>
      <w:sz w:val="24"/>
      <w:szCs w:val="24"/>
      <w:lang w:val="en-US" w:eastAsia="uk-UA" w:bidi="ar-SA"/>
    </w:rPr>
  </w:style>
  <w:style w:type="paragraph" w:customStyle="1" w:styleId="paraStyle">
    <w:name w:val="paraStyle"/>
    <w:basedOn w:val="Normal"/>
    <w:qFormat/>
    <w:rPr>
      <w:b/>
      <w:sz w:val="21"/>
    </w:rPr>
  </w:style>
  <w:style w:type="paragraph" w:customStyle="1" w:styleId="subTitleStylea5c9b66c-0f34-43d3-b144-7281eb109790">
    <w:name w:val="subTitleStyle_a5c9b66c-0f34-43d3-b144-7281eb109790"/>
    <w:basedOn w:val="Normal4e71f288-79bc-4f47-8ec5-b2d8e6f416c3"/>
    <w:qFormat/>
    <w:rPr>
      <w:rFonts w:ascii="宋体" w:eastAsia="宋体" w:hAnsi="宋体" w:cs="宋体"/>
      <w:b/>
      <w:color w:val="000000"/>
      <w:sz w:val="32"/>
    </w:rPr>
  </w:style>
  <w:style w:type="table" w:styleId="TableGrid">
    <w:name w:val="Table Gri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header" Target="header1.xml" /><Relationship Id="rId15" Type="http://schemas.openxmlformats.org/officeDocument/2006/relationships/header" Target="header2.xml" /><Relationship Id="rId16" Type="http://schemas.openxmlformats.org/officeDocument/2006/relationships/footer" Target="footer1.xml" /><Relationship Id="rId17" Type="http://schemas.openxmlformats.org/officeDocument/2006/relationships/footer" Target="footer2.xml" /><Relationship Id="rId18" Type="http://schemas.openxmlformats.org/officeDocument/2006/relationships/header" Target="header3.xml" /><Relationship Id="rId19" Type="http://schemas.openxmlformats.org/officeDocument/2006/relationships/theme" Target="theme/theme1.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Manager>试题资源</Manager>
  <Company>众望教育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试题资源网试卷</dc:title>
  <dc:subject>试题资源</dc:subject>
  <dc:creator>stzy.com</dc:creator>
  <cp:keywords>试题资源, 试卷,课件，题库，组卷，教案，教学资源，众望教育, 必刷题，必刷卷</cp:keywords>
  <dc:description>试题资源网 题好 卷好 备课好</dc:description>
  <cp:lastModifiedBy>试题资源网</cp:lastModifiedBy>
  <cp:revision>1</cp:revision>
  <dcterms:created xsi:type="dcterms:W3CDTF">2025-06-26T09:12:45Z</dcterms:created>
  <dcterms:modified xsi:type="dcterms:W3CDTF">2025-06-26T09:12:45Z</dcterms:modified>
  <cp:category>试题</cp:category>
</cp:coreProperties>
</file>