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pStyle w:val="subTitleStyle"/>
        <w:spacing w:after="100" w:afterAutospacing="0"/>
        <w:jc w:val="center"/>
      </w:pPr>
      <w:r>
        <w:t>2025年普通高中学业水平选择性考试（江苏卷）地理试题（网络回忆版）</w:t>
      </w:r>
    </w:p>
    <w:p>
      <w:pPr>
        <w:pStyle w:val="Normal74c163fb-50fe-4ed9-aa3f-4c74bfc0f4d8"/>
      </w:pPr>
    </w:p>
    <w:p>
      <w:pPr>
        <w:pStyle w:val="paraStyle"/>
        <w:spacing w:before="200" w:beforeAutospacing="0" w:after="200" w:afterAutospacing="0"/>
      </w:pPr>
      <w:r>
        <w:t>一、单选题</w:t>
      </w:r>
    </w:p>
    <w:p>
      <w:pPr>
        <w:pStyle w:val="Normal74c163fb-50fe-4ed9-aa3f-4c74bfc0f4d8"/>
        <w:numPr>
          <w:ilvl w:val="0"/>
          <w:numId w:val="0"/>
        </w:numPr>
        <w:spacing w:line="320" w:lineRule="auto"/>
        <w:ind w:firstLine="560"/>
        <w:jc w:val="left"/>
        <w:textAlignment w:val="center"/>
      </w:pPr>
      <w:r>
        <w:rPr>
          <w:rFonts w:ascii="Times New Roman" w:eastAsia="Times New Roman" w:hAnsi="Times New Roman" w:cs="Times New Roman"/>
          <w:color w:val="000000"/>
          <w:sz w:val="21"/>
          <w:shd w:val="clear" w:color="auto" w:fill="auto"/>
          <w:vertAlign w:val="baseline"/>
        </w:rPr>
        <w:t>10</w:t>
      </w:r>
      <w:r>
        <w:rPr>
          <w:rFonts w:ascii="楷体" w:eastAsia="楷体" w:hAnsi="楷体" w:cs="楷体"/>
          <w:color w:val="000000"/>
          <w:sz w:val="21"/>
          <w:shd w:val="clear" w:color="auto" w:fill="auto"/>
          <w:vertAlign w:val="baseline"/>
        </w:rPr>
        <w:t>月中旬</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拉萨市</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29</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N</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91</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E</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某中学学生开展校园地理实践活动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北京时间</w:t>
      </w:r>
      <w:r>
        <w:rPr>
          <w:rFonts w:ascii="Times New Roman" w:eastAsia="Times New Roman" w:hAnsi="Times New Roman" w:cs="Times New Roman"/>
          <w:color w:val="000000"/>
          <w:sz w:val="21"/>
          <w:shd w:val="clear" w:color="auto" w:fill="auto"/>
          <w:vertAlign w:val="baseline"/>
        </w:rPr>
        <w:t>13</w:t>
      </w:r>
      <w:r>
        <w:rPr>
          <w:rFonts w:ascii="楷体" w:eastAsia="楷体" w:hAnsi="楷体" w:cs="楷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56</w:t>
      </w:r>
      <w:r>
        <w:rPr>
          <w:rFonts w:ascii="楷体" w:eastAsia="楷体" w:hAnsi="楷体" w:cs="楷体"/>
          <w:color w:val="000000"/>
          <w:sz w:val="21"/>
          <w:shd w:val="clear" w:color="auto" w:fill="auto"/>
          <w:vertAlign w:val="baseline"/>
        </w:rPr>
        <w:t>分拍摄的校园照片</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362200" cy="2257425"/>
            <wp:effectExtent l="0" t="0" r="0" b="9525"/>
            <wp:docPr id="12" name="_x0000_i103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00_i1036" descr="@@@63ca4fbe-c62d-467f-9238-002b1d40c130"/>
                    <pic:cNvPicPr>
                      <a:picLocks noChangeAspect="1"/>
                    </pic:cNvPicPr>
                  </pic:nvPicPr>
                  <pic:blipFill>
                    <a:blip xmlns:r="http://schemas.openxmlformats.org/officeDocument/2006/relationships" r:embed="rId4"/>
                    <a:stretch>
                      <a:fillRect/>
                    </a:stretch>
                  </pic:blipFill>
                  <pic:spPr>
                    <a:xfrm>
                      <a:off x="0" y="0"/>
                      <a:ext cx="2362200" cy="2257425"/>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图中杆影指向最接近</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东北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西北</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在观测杆影活动中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学生可领悟到与地球运动相关的是学校的</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课程设置</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位置选择</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空间规模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作息时间</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在观察植被过程中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学生发现校园植被比周边山地好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主要是因为</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土壤肥力的提高</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局地气候的改善</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灌溉用水的保障</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局部地形的改变</w:t>
      </w:r>
    </w:p>
    <w:p>
      <w:pPr>
        <w:pStyle w:val="Normal74c163fb-50fe-4ed9-aa3f-4c74bfc0f4d8"/>
        <w:tabs>
          <w:tab w:val="left" w:pos="2078"/>
          <w:tab w:val="left" w:pos="4156"/>
          <w:tab w:val="left" w:pos="6234"/>
        </w:tabs>
        <w:spacing w:line="320" w:lineRule="auto"/>
        <w:ind w:left="300"/>
        <w:jc w:val="left"/>
        <w:textAlignment w:val="center"/>
        <w:rPr>
          <w:sz w:val="21"/>
        </w:rPr>
      </w:pPr>
    </w:p>
    <w:p>
      <w:pPr>
        <w:pStyle w:val="Normal74c163fb-50fe-4ed9-aa3f-4c74bfc0f4d8"/>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加拿大最东端的斯比尔角被称为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加拿大东极</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是圣约翰斯市热门旅游景点</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圣约翰斯市旅游简图</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62200" cy="1847850"/>
            <wp:effectExtent l="0" t="0" r="0" b="0"/>
            <wp:docPr id="13" name="_x0000_i10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00_i1037" descr="@@@41d712fe17ae4780bd29858cb3308481"/>
                    <pic:cNvPicPr>
                      <a:picLocks noChangeAspect="1"/>
                    </pic:cNvPicPr>
                  </pic:nvPicPr>
                  <pic:blipFill>
                    <a:blip xmlns:r="http://schemas.openxmlformats.org/officeDocument/2006/relationships" r:embed="rId5"/>
                    <a:stretch>
                      <a:fillRect/>
                    </a:stretch>
                  </pic:blipFill>
                  <pic:spPr>
                    <a:xfrm>
                      <a:off x="0" y="0"/>
                      <a:ext cx="2362200" cy="1847850"/>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该图的指向标为</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05350" cy="1066800"/>
            <wp:effectExtent l="0" t="0" r="0" b="0"/>
            <wp:docPr id="14" name="_x0000_i103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_x0000_i1038" descr="@@@7bf606befc2c415292d4f4f40946243d"/>
                    <pic:cNvPicPr>
                      <a:picLocks noChangeAspect="1"/>
                    </pic:cNvPicPr>
                  </pic:nvPicPr>
                  <pic:blipFill>
                    <a:blip xmlns:r="http://schemas.openxmlformats.org/officeDocument/2006/relationships" r:embed="rId6"/>
                    <a:stretch>
                      <a:fillRect/>
                    </a:stretch>
                  </pic:blipFill>
                  <pic:spPr>
                    <a:xfrm>
                      <a:off x="0" y="0"/>
                      <a:ext cx="4705350" cy="1066800"/>
                    </a:xfrm>
                    <a:prstGeom prst="rect">
                      <a:avLst/>
                    </a:prstGeom>
                  </pic:spPr>
                </pic:pic>
              </a:graphicData>
            </a:graphic>
          </wp:inline>
        </w:drawing>
      </w:r>
    </w:p>
    <w:p>
      <w:pPr>
        <w:pStyle w:val="Normal74c163fb-50fe-4ed9-aa3f-4c74bfc0f4d8"/>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A．A</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B．B</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C．C</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D．D</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该图采用的指向方式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满足显示城市范围需要</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便于确定景点相对位置</w:t>
      </w:r>
    </w:p>
    <w:p>
      <w:pPr>
        <w:pStyle w:val="Normal74c163fb-50fe-4ed9-aa3f-4c74bfc0f4d8"/>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增加测量距离的准确性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提高交通线路的可读性</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该类地图的设计方式常见于</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房产区位图</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世界航海图</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国家政区图</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气象预报图</w:t>
      </w:r>
    </w:p>
    <w:p>
      <w:pPr>
        <w:pStyle w:val="Normal74c163fb-50fe-4ed9-aa3f-4c74bfc0f4d8"/>
        <w:tabs>
          <w:tab w:val="left" w:pos="2078"/>
          <w:tab w:val="left" w:pos="4156"/>
          <w:tab w:val="left" w:pos="6234"/>
        </w:tabs>
        <w:spacing w:line="320" w:lineRule="auto"/>
        <w:ind w:left="300"/>
        <w:jc w:val="left"/>
        <w:textAlignment w:val="center"/>
        <w:rPr>
          <w:sz w:val="21"/>
        </w:rPr>
      </w:pPr>
    </w:p>
    <w:p>
      <w:pPr>
        <w:pStyle w:val="Normal74c163fb-50fe-4ed9-aa3f-4c74bfc0f4d8"/>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由于植物适应荒漠环境的方式不同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共根系差别很大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荒漠土壤剖面及植物根系示意图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14625" cy="2181225"/>
            <wp:effectExtent l="0" t="0" r="9525" b="9525"/>
            <wp:docPr id="15" name="_x0000_i10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_x0000_i1039" descr="@@@b7f61a15-f405-4881-b1b9-24b883278b7d"/>
                    <pic:cNvPicPr>
                      <a:picLocks noChangeAspect="1"/>
                    </pic:cNvPicPr>
                  </pic:nvPicPr>
                  <pic:blipFill>
                    <a:blip xmlns:r="http://schemas.openxmlformats.org/officeDocument/2006/relationships" r:embed="rId7"/>
                    <a:stretch>
                      <a:fillRect/>
                    </a:stretch>
                  </pic:blipFill>
                  <pic:spPr>
                    <a:xfrm>
                      <a:off x="0" y="0"/>
                      <a:ext cx="2714625" cy="2181225"/>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在图示荒漠土壤中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可溶性盐积聚的过程是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生物作用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淀积作用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风积作用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溶蚀作用</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根系较小的肉质植物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不同于其他荒漠植物适应环境的方式是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营养器官储水</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枝叶演化成刺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干旱季节休眠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叶片具蜡质层</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与阿拉伯半岛的荒漠植物相比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我国塔里木盆地的荒漠植物更</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耐盐</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耐旱</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耐寒</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耐热</w:t>
      </w:r>
    </w:p>
    <w:p>
      <w:pPr>
        <w:pStyle w:val="Normal74c163fb-50fe-4ed9-aa3f-4c74bfc0f4d8"/>
        <w:tabs>
          <w:tab w:val="left" w:pos="2078"/>
          <w:tab w:val="left" w:pos="4156"/>
          <w:tab w:val="left" w:pos="6234"/>
        </w:tabs>
        <w:spacing w:line="320" w:lineRule="auto"/>
        <w:ind w:left="300"/>
        <w:jc w:val="left"/>
        <w:textAlignment w:val="center"/>
        <w:rPr>
          <w:sz w:val="21"/>
        </w:rPr>
      </w:pPr>
    </w:p>
    <w:p>
      <w:pPr>
        <w:pStyle w:val="Normal74c163fb-50fe-4ed9-aa3f-4c74bfc0f4d8"/>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下图为某地地质剖面图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38475" cy="1981200"/>
            <wp:effectExtent l="0" t="0" r="9525" b="0"/>
            <wp:docPr id="16" name="_x0000_i104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_x0000_i1040" descr="@@@8c732fff-adbc-45bf-8748-7571568164a2"/>
                    <pic:cNvPicPr>
                      <a:picLocks noChangeAspect="1"/>
                    </pic:cNvPicPr>
                  </pic:nvPicPr>
                  <pic:blipFill>
                    <a:blip xmlns:r="http://schemas.openxmlformats.org/officeDocument/2006/relationships" r:embed="rId8"/>
                    <a:stretch>
                      <a:fillRect/>
                    </a:stretch>
                  </pic:blipFill>
                  <pic:spPr>
                    <a:xfrm>
                      <a:off x="0" y="0"/>
                      <a:ext cx="3038475" cy="1981200"/>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推测该地最新的地质事件是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岩层褶皱</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地壳沉降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岩层断裂</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岩浆侵入</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图中背斜顶部容易被侵蚀的证据是其顶部</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更老地层曾出露</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存在断层</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存在岩浆的侵入</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岩性差异</w:t>
      </w:r>
    </w:p>
    <w:p>
      <w:pPr>
        <w:pStyle w:val="Normal74c163fb-50fe-4ed9-aa3f-4c74bfc0f4d8"/>
        <w:tabs>
          <w:tab w:val="left" w:pos="2078"/>
          <w:tab w:val="left" w:pos="4156"/>
          <w:tab w:val="left" w:pos="6234"/>
        </w:tabs>
        <w:spacing w:line="320" w:lineRule="auto"/>
        <w:ind w:left="380"/>
        <w:jc w:val="left"/>
        <w:textAlignment w:val="center"/>
        <w:rPr>
          <w:sz w:val="21"/>
        </w:rPr>
      </w:pPr>
    </w:p>
    <w:p>
      <w:pPr>
        <w:pStyle w:val="Normal74c163fb-50fe-4ed9-aa3f-4c74bfc0f4d8"/>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粮食安全是我国国家安全的重要组成部分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耕地资源是粮食安全的基础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近年来我国耕地面积发生了变化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并呈现出区域差异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w:t>
      </w:r>
      <w:r>
        <w:rPr>
          <w:rFonts w:ascii="Times New Roman" w:eastAsia="Times New Roman" w:hAnsi="Times New Roman" w:cs="Times New Roman"/>
          <w:color w:val="000000"/>
          <w:sz w:val="21"/>
          <w:shd w:val="clear" w:color="auto" w:fill="auto"/>
          <w:vertAlign w:val="baseline"/>
        </w:rPr>
        <w:t>2009</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2019</w:t>
      </w:r>
      <w:r>
        <w:rPr>
          <w:rFonts w:ascii="楷体" w:eastAsia="楷体" w:hAnsi="楷体" w:cs="楷体"/>
          <w:color w:val="000000"/>
          <w:sz w:val="21"/>
          <w:shd w:val="clear" w:color="auto" w:fill="auto"/>
          <w:vertAlign w:val="baseline"/>
        </w:rPr>
        <w:t>年我国省级行政区耕地面积变化图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62325" cy="2476500"/>
            <wp:effectExtent l="0" t="0" r="9525" b="0"/>
            <wp:docPr id="17" name="_x0000_i10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_x0000_i1041" descr="@@@c3a34183be244714ae91167ee2ad17fd"/>
                    <pic:cNvPicPr>
                      <a:picLocks noChangeAspect="1"/>
                    </pic:cNvPicPr>
                  </pic:nvPicPr>
                  <pic:blipFill>
                    <a:blip xmlns:r="http://schemas.openxmlformats.org/officeDocument/2006/relationships" r:embed="rId9"/>
                    <a:stretch>
                      <a:fillRect/>
                    </a:stretch>
                  </pic:blipFill>
                  <pic:spPr>
                    <a:xfrm>
                      <a:off x="0" y="0"/>
                      <a:ext cx="3362325" cy="2476500"/>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2009—2019</w:t>
      </w:r>
      <w:r>
        <w:rPr>
          <w:rFonts w:ascii="宋体" w:eastAsia="宋体" w:hAnsi="宋体" w:cs="宋体"/>
          <w:color w:val="000000"/>
          <w:sz w:val="21"/>
          <w:shd w:val="clear" w:color="auto" w:fill="auto"/>
          <w:vertAlign w:val="baseline"/>
        </w:rPr>
        <w:t>年我国省级行政区耕地面积的增加与减少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呈现明显的区域差异格局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大致的划分界线是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A．110°E</w:t>
      </w:r>
      <w:r>
        <w:rPr>
          <w:rFonts w:ascii="宋体" w:eastAsia="宋体" w:hAnsi="宋体" w:cs="宋体"/>
          <w:color w:val="000000"/>
          <w:sz w:val="21"/>
          <w:shd w:val="clear" w:color="auto" w:fill="auto"/>
          <w:vertAlign w:val="baseline"/>
        </w:rPr>
        <w:t>经线</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B．40°N</w:t>
      </w:r>
      <w:r>
        <w:rPr>
          <w:rFonts w:ascii="宋体" w:eastAsia="宋体" w:hAnsi="宋体" w:cs="宋体"/>
          <w:color w:val="000000"/>
          <w:sz w:val="21"/>
          <w:shd w:val="clear" w:color="auto" w:fill="auto"/>
          <w:vertAlign w:val="baseline"/>
        </w:rPr>
        <w:t>纬线</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胡焕庸线</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秦岭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淮河一线</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2009—2019</w:t>
      </w:r>
      <w:r>
        <w:rPr>
          <w:rFonts w:ascii="宋体" w:eastAsia="宋体" w:hAnsi="宋体" w:cs="宋体"/>
          <w:color w:val="000000"/>
          <w:sz w:val="21"/>
          <w:shd w:val="clear" w:color="auto" w:fill="auto"/>
          <w:vertAlign w:val="baseline"/>
        </w:rPr>
        <w:t>年我国部分省级行政区耕地增加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其主要驱动力是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作物品种改良</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人口数量增多</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具有规模效益</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交通区位改善</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为保障我国粮食安全和生态安全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符合因地施策的是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东南地区严格保护耕地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复垦城镇建设用地</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西北地区积极开采地下水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增加可灌溉面积</w:t>
      </w:r>
    </w:p>
    <w:p>
      <w:pPr>
        <w:pStyle w:val="Normal74c163fb-50fe-4ed9-aa3f-4c74bfc0f4d8"/>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东北地区加大湿地开发力度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增加耕地供给</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西南地区鼓励撂荒地复垦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遏制耕地非粮化</w:t>
      </w:r>
    </w:p>
    <w:p>
      <w:pPr>
        <w:pStyle w:val="Normal74c163fb-50fe-4ed9-aa3f-4c74bfc0f4d8"/>
        <w:tabs>
          <w:tab w:val="left" w:pos="4156"/>
        </w:tabs>
        <w:spacing w:line="320" w:lineRule="auto"/>
        <w:ind w:left="380"/>
        <w:jc w:val="left"/>
        <w:textAlignment w:val="center"/>
        <w:rPr>
          <w:sz w:val="21"/>
        </w:rPr>
      </w:pPr>
    </w:p>
    <w:p>
      <w:pPr>
        <w:pStyle w:val="Normal74c163fb-50fe-4ed9-aa3f-4c74bfc0f4d8"/>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亚洲中部高大山脉周边分布着许多国家的首都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下图为亚洲局部地区卫星影像图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71750" cy="2562225"/>
            <wp:effectExtent l="0" t="0" r="0" b="9525"/>
            <wp:docPr id="18" name="_x0000_i10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_x0000_i1042" descr="@@@9bade3b90f6a47d7be801bdc7499ff4e"/>
                    <pic:cNvPicPr>
                      <a:picLocks noChangeAspect="1"/>
                    </pic:cNvPicPr>
                  </pic:nvPicPr>
                  <pic:blipFill>
                    <a:blip xmlns:r="http://schemas.openxmlformats.org/officeDocument/2006/relationships" r:embed="rId10"/>
                    <a:stretch>
                      <a:fillRect/>
                    </a:stretch>
                  </pic:blipFill>
                  <pic:spPr>
                    <a:xfrm>
                      <a:off x="0" y="0"/>
                      <a:ext cx="2571750" cy="2562225"/>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图中城市发展初期选址在山麓地带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考虑的首要条件是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充足的光热</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稳定的水源</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丰富的矿产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肥沃的土壤</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图中城市依托地形地势发展成为国家政治中心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主要考虑</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安全防御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城市历史</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农业条件</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人口数量</w:t>
      </w:r>
    </w:p>
    <w:p>
      <w:pPr>
        <w:pStyle w:val="Normal74c163fb-50fe-4ed9-aa3f-4c74bfc0f4d8"/>
        <w:tabs>
          <w:tab w:val="left" w:pos="2078"/>
          <w:tab w:val="left" w:pos="4156"/>
          <w:tab w:val="left" w:pos="6234"/>
        </w:tabs>
        <w:spacing w:line="320" w:lineRule="auto"/>
        <w:ind w:left="380"/>
        <w:jc w:val="left"/>
        <w:textAlignment w:val="center"/>
        <w:rPr>
          <w:sz w:val="21"/>
        </w:rPr>
      </w:pPr>
    </w:p>
    <w:p>
      <w:pPr>
        <w:pStyle w:val="Normal74c163fb-50fe-4ed9-aa3f-4c74bfc0f4d8"/>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老年人口抚养比是指一个地区老年人口数与劳动年龄人口数的比值</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w:t>
      </w:r>
      <w:r>
        <w:rPr>
          <w:rFonts w:ascii="Times New Roman" w:eastAsia="Times New Roman" w:hAnsi="Times New Roman" w:cs="Times New Roman"/>
          <w:color w:val="000000"/>
          <w:sz w:val="21"/>
          <w:shd w:val="clear" w:color="auto" w:fill="auto"/>
          <w:vertAlign w:val="baseline"/>
        </w:rPr>
        <w:t>“2022</w:t>
      </w:r>
      <w:r>
        <w:rPr>
          <w:rFonts w:ascii="楷体" w:eastAsia="楷体" w:hAnsi="楷体" w:cs="楷体"/>
          <w:color w:val="000000"/>
          <w:sz w:val="21"/>
          <w:shd w:val="clear" w:color="auto" w:fill="auto"/>
          <w:vertAlign w:val="baseline"/>
        </w:rPr>
        <w:t>年我国部分省级行政区老年人口抚养比与人均收入的关系图</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67000" cy="1924050"/>
            <wp:effectExtent l="0" t="0" r="0" b="0"/>
            <wp:docPr id="19" name="_x0000_i10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_x0000_i1043" descr="@@@cabfeeda-0911-4611-ae9f-cc5b5d993729"/>
                    <pic:cNvPicPr>
                      <a:picLocks noChangeAspect="1"/>
                    </pic:cNvPicPr>
                  </pic:nvPicPr>
                  <pic:blipFill>
                    <a:blip xmlns:r="http://schemas.openxmlformats.org/officeDocument/2006/relationships" r:embed="rId11"/>
                    <a:stretch>
                      <a:fillRect/>
                    </a:stretch>
                  </pic:blipFill>
                  <pic:spPr>
                    <a:xfrm>
                      <a:off x="0" y="0"/>
                      <a:ext cx="2667000" cy="1924050"/>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图中表示江苏的是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丙</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丁</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我国人均收入高的地区老年人口抚养比差异明显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其主要影响因素是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医疗卫生条件</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人口迁移量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人口预期寿命</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人口出生率</w:t>
      </w:r>
    </w:p>
    <w:p>
      <w:pPr>
        <w:pStyle w:val="Normal74c163fb-50fe-4ed9-aa3f-4c74bfc0f4d8"/>
        <w:tabs>
          <w:tab w:val="left" w:pos="2078"/>
          <w:tab w:val="left" w:pos="4156"/>
          <w:tab w:val="left" w:pos="6234"/>
        </w:tabs>
        <w:spacing w:line="320" w:lineRule="auto"/>
        <w:ind w:left="380"/>
        <w:jc w:val="left"/>
        <w:textAlignment w:val="center"/>
        <w:rPr>
          <w:sz w:val="21"/>
        </w:rPr>
      </w:pPr>
    </w:p>
    <w:p>
      <w:pPr>
        <w:pStyle w:val="Normal74c163fb-50fe-4ed9-aa3f-4c74bfc0f4d8"/>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东南亚农业种植结构受多种因素影响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不同历史时期发生了多次变化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下表为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东南亚不同历史时期种植的主要农作物</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tbl>
      <w:tblPr>
        <w:tblStyle w:val="TableNormal"/>
        <w:tblW w:w="79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2145"/>
        <w:gridCol w:w="5790"/>
      </w:tblGrid>
      <w:tr>
        <w:tblPrEx>
          <w:tblW w:w="79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21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历史时期</w:t>
            </w:r>
          </w:p>
        </w:tc>
        <w:tc>
          <w:tcPr>
            <w:tcW w:w="579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主要农作物</w:t>
            </w:r>
          </w:p>
        </w:tc>
      </w:tr>
      <w:tr>
        <w:tblPrEx>
          <w:tblW w:w="7935" w:type="dxa"/>
          <w:tblInd w:w="0" w:type="dxa"/>
          <w:tblCellMar>
            <w:top w:w="120" w:type="dxa"/>
            <w:left w:w="120" w:type="dxa"/>
            <w:bottom w:w="120" w:type="dxa"/>
            <w:right w:w="120" w:type="dxa"/>
          </w:tblCellMar>
          <w:tblLook w:val="0600"/>
        </w:tblPrEx>
        <w:trPr>
          <w:trHeight w:hRule="auto" w:val="0"/>
        </w:trPr>
        <w:tc>
          <w:tcPr>
            <w:tcW w:w="21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楷体" w:eastAsia="楷体" w:hAnsi="楷体" w:cs="楷体"/>
                <w:color w:val="000000"/>
                <w:sz w:val="21"/>
                <w:shd w:val="clear" w:color="auto" w:fill="auto"/>
                <w:vertAlign w:val="baseline"/>
              </w:rPr>
              <w:t>世纪以前</w:t>
            </w:r>
          </w:p>
        </w:tc>
        <w:tc>
          <w:tcPr>
            <w:tcW w:w="579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水稻和甘蔗</w:t>
            </w:r>
          </w:p>
        </w:tc>
      </w:tr>
      <w:tr>
        <w:tblPrEx>
          <w:tblW w:w="7935" w:type="dxa"/>
          <w:tblInd w:w="0" w:type="dxa"/>
          <w:tblCellMar>
            <w:top w:w="120" w:type="dxa"/>
            <w:left w:w="120" w:type="dxa"/>
            <w:bottom w:w="120" w:type="dxa"/>
            <w:right w:w="120" w:type="dxa"/>
          </w:tblCellMar>
          <w:tblLook w:val="0600"/>
        </w:tblPrEx>
        <w:trPr>
          <w:trHeight w:hRule="auto" w:val="0"/>
        </w:trPr>
        <w:tc>
          <w:tcPr>
            <w:tcW w:w="21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楷体" w:eastAsia="楷体" w:hAnsi="楷体" w:cs="楷体"/>
                <w:color w:val="000000"/>
                <w:sz w:val="21"/>
                <w:shd w:val="clear" w:color="auto" w:fill="auto"/>
                <w:vertAlign w:val="baseline"/>
              </w:rPr>
              <w:t>世纪至</w:t>
            </w:r>
            <w:r>
              <w:rPr>
                <w:rFonts w:ascii="Times New Roman" w:eastAsia="Times New Roman" w:hAnsi="Times New Roman" w:cs="Times New Roman"/>
                <w:color w:val="000000"/>
                <w:sz w:val="21"/>
                <w:shd w:val="clear" w:color="auto" w:fill="auto"/>
                <w:vertAlign w:val="baseline"/>
              </w:rPr>
              <w:t>19</w:t>
            </w:r>
            <w:r>
              <w:rPr>
                <w:rFonts w:ascii="楷体" w:eastAsia="楷体" w:hAnsi="楷体" w:cs="楷体"/>
                <w:color w:val="000000"/>
                <w:sz w:val="21"/>
                <w:shd w:val="clear" w:color="auto" w:fill="auto"/>
                <w:vertAlign w:val="baseline"/>
              </w:rPr>
              <w:t>世纪初</w:t>
            </w:r>
          </w:p>
        </w:tc>
        <w:tc>
          <w:tcPr>
            <w:tcW w:w="579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丁香</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胡椒</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烟竿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咖啡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水稻</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甘蔗等</w:t>
            </w:r>
          </w:p>
        </w:tc>
      </w:tr>
      <w:tr>
        <w:tblPrEx>
          <w:tblW w:w="7935" w:type="dxa"/>
          <w:tblInd w:w="0" w:type="dxa"/>
          <w:tblCellMar>
            <w:top w:w="120" w:type="dxa"/>
            <w:left w:w="120" w:type="dxa"/>
            <w:bottom w:w="120" w:type="dxa"/>
            <w:right w:w="120" w:type="dxa"/>
          </w:tblCellMar>
          <w:tblLook w:val="0600"/>
        </w:tblPrEx>
        <w:trPr>
          <w:trHeight w:hRule="auto" w:val="0"/>
        </w:trPr>
        <w:tc>
          <w:tcPr>
            <w:tcW w:w="21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楷体" w:eastAsia="楷体" w:hAnsi="楷体" w:cs="楷体"/>
                <w:color w:val="000000"/>
                <w:sz w:val="21"/>
                <w:shd w:val="clear" w:color="auto" w:fill="auto"/>
                <w:vertAlign w:val="baseline"/>
              </w:rPr>
              <w:t>世纪中叶至</w:t>
            </w:r>
            <w:r>
              <w:rPr>
                <w:rFonts w:ascii="Times New Roman" w:eastAsia="Times New Roman" w:hAnsi="Times New Roman" w:cs="Times New Roman"/>
                <w:color w:val="000000"/>
                <w:sz w:val="21"/>
                <w:shd w:val="clear" w:color="auto" w:fill="auto"/>
                <w:vertAlign w:val="baseline"/>
              </w:rPr>
              <w:t>20</w:t>
            </w:r>
            <w:r>
              <w:rPr>
                <w:rFonts w:ascii="楷体" w:eastAsia="楷体" w:hAnsi="楷体" w:cs="楷体"/>
                <w:color w:val="000000"/>
                <w:sz w:val="21"/>
                <w:shd w:val="clear" w:color="auto" w:fill="auto"/>
                <w:vertAlign w:val="baseline"/>
              </w:rPr>
              <w:t>世纪初</w:t>
            </w:r>
          </w:p>
        </w:tc>
        <w:tc>
          <w:tcPr>
            <w:tcW w:w="579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橡胶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油棕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咖啡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水稻</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甘蔗等</w:t>
            </w:r>
          </w:p>
        </w:tc>
      </w:tr>
      <w:tr>
        <w:tblPrEx>
          <w:tblW w:w="7935" w:type="dxa"/>
          <w:tblInd w:w="0" w:type="dxa"/>
          <w:tblCellMar>
            <w:top w:w="120" w:type="dxa"/>
            <w:left w:w="120" w:type="dxa"/>
            <w:bottom w:w="120" w:type="dxa"/>
            <w:right w:w="120" w:type="dxa"/>
          </w:tblCellMar>
          <w:tblLook w:val="0600"/>
        </w:tblPrEx>
        <w:trPr>
          <w:trHeight w:hRule="auto" w:val="0"/>
        </w:trPr>
        <w:tc>
          <w:tcPr>
            <w:tcW w:w="21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20</w:t>
            </w:r>
            <w:r>
              <w:rPr>
                <w:rFonts w:ascii="楷体" w:eastAsia="楷体" w:hAnsi="楷体" w:cs="楷体"/>
                <w:color w:val="000000"/>
                <w:sz w:val="21"/>
                <w:shd w:val="clear" w:color="auto" w:fill="auto"/>
                <w:vertAlign w:val="baseline"/>
              </w:rPr>
              <w:t>世纪中叶以后</w:t>
            </w:r>
          </w:p>
        </w:tc>
        <w:tc>
          <w:tcPr>
            <w:tcW w:w="579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橡胶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油棕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蕉麻</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可可</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咖啡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水稻</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甘蔗等</w:t>
            </w:r>
          </w:p>
        </w:tc>
      </w:tr>
    </w:tbl>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世纪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东南亚农业种植结构的转变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是因为</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土地支配权的变化</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国家间的互惠贸易</w:t>
      </w:r>
    </w:p>
    <w:p>
      <w:pPr>
        <w:pStyle w:val="Normal74c163fb-50fe-4ed9-aa3f-4c74bfc0f4d8"/>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本地消费市场扩大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劳动生产效率提高</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20．</w:t>
      </w: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世纪中叶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东南亚农业种植结构再次发生变化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与其直接相关的产业是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纺织加工</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钢铁冶炼</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汽车制造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煤炭开采</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21．</w:t>
      </w:r>
      <w:r>
        <w:rPr>
          <w:rFonts w:ascii="宋体" w:eastAsia="宋体" w:hAnsi="宋体" w:cs="宋体"/>
          <w:color w:val="000000"/>
          <w:sz w:val="21"/>
          <w:shd w:val="clear" w:color="auto" w:fill="auto"/>
          <w:vertAlign w:val="baseline"/>
        </w:rPr>
        <w:t>近几十年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东南亚油棕种植面积扩大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能够解释该现象的概念是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国际贸易区域化</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区域环境差异化</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农业生产机械化</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全球经济一体化</w:t>
      </w:r>
    </w:p>
    <w:p>
      <w:pPr>
        <w:pStyle w:val="Normal74c163fb-50fe-4ed9-aa3f-4c74bfc0f4d8"/>
        <w:tabs>
          <w:tab w:val="left" w:pos="2078"/>
          <w:tab w:val="left" w:pos="4156"/>
          <w:tab w:val="left" w:pos="6234"/>
        </w:tabs>
        <w:spacing w:line="320" w:lineRule="auto"/>
        <w:ind w:left="380"/>
        <w:jc w:val="left"/>
        <w:textAlignment w:val="center"/>
        <w:rPr>
          <w:sz w:val="21"/>
        </w:rPr>
      </w:pPr>
    </w:p>
    <w:p>
      <w:pPr>
        <w:pStyle w:val="Normal74c163fb-50fe-4ed9-aa3f-4c74bfc0f4d8"/>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乡村聚落的选址与人们的生产生活紧密相关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我国西北某地乡村聚落四种模式图</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67150" cy="1152525"/>
            <wp:effectExtent l="0" t="0" r="0" b="9525"/>
            <wp:docPr id="20" name="_x0000_i104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_x0000_i1044" descr="@@@42ba3ae2-4096-48f9-8fd6-2f69c5d5f76c"/>
                    <pic:cNvPicPr>
                      <a:picLocks noChangeAspect="1"/>
                    </pic:cNvPicPr>
                  </pic:nvPicPr>
                  <pic:blipFill>
                    <a:blip xmlns:r="http://schemas.openxmlformats.org/officeDocument/2006/relationships" r:embed="rId12"/>
                    <a:stretch>
                      <a:fillRect/>
                    </a:stretch>
                  </pic:blipFill>
                  <pic:spPr>
                    <a:xfrm>
                      <a:off x="0" y="0"/>
                      <a:ext cx="3867150" cy="1152525"/>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22．</w:t>
      </w:r>
      <w:r>
        <w:rPr>
          <w:rFonts w:ascii="宋体" w:eastAsia="宋体" w:hAnsi="宋体" w:cs="宋体"/>
          <w:color w:val="000000"/>
          <w:sz w:val="21"/>
          <w:shd w:val="clear" w:color="auto" w:fill="auto"/>
          <w:vertAlign w:val="baseline"/>
        </w:rPr>
        <w:t>四种模式中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农业活动空间范围最大的是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D．④</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23．</w:t>
      </w:r>
      <w:r>
        <w:rPr>
          <w:rFonts w:ascii="宋体" w:eastAsia="宋体" w:hAnsi="宋体" w:cs="宋体"/>
          <w:color w:val="000000"/>
          <w:sz w:val="21"/>
          <w:shd w:val="clear" w:color="auto" w:fill="auto"/>
          <w:vertAlign w:val="baseline"/>
        </w:rPr>
        <w:t>提炼四种模式的主要依据是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74c163fb-50fe-4ed9-aa3f-4c74bfc0f4d8"/>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作物品种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河流分布</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土地利用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村庄规模</w:t>
      </w:r>
    </w:p>
    <w:p>
      <w:pPr>
        <w:pStyle w:val="Normal74c163fb-50fe-4ed9-aa3f-4c74bfc0f4d8"/>
        <w:tabs>
          <w:tab w:val="left" w:pos="2078"/>
          <w:tab w:val="left" w:pos="4156"/>
          <w:tab w:val="left" w:pos="6234"/>
        </w:tabs>
        <w:spacing w:line="320" w:lineRule="auto"/>
        <w:ind w:left="380"/>
        <w:jc w:val="left"/>
        <w:textAlignment w:val="center"/>
        <w:rPr>
          <w:sz w:val="21"/>
        </w:rPr>
      </w:pPr>
    </w:p>
    <w:p>
      <w:pPr>
        <w:pStyle w:val="Normal74c163fb-50fe-4ed9-aa3f-4c74bfc0f4d8"/>
      </w:pPr>
    </w:p>
    <w:p>
      <w:pPr>
        <w:pStyle w:val="paraStyle"/>
        <w:spacing w:before="200" w:beforeAutospacing="0" w:after="200" w:afterAutospacing="0"/>
      </w:pPr>
      <w:r>
        <w:t>二、综合题</w:t>
      </w:r>
    </w:p>
    <w:p>
      <w:pPr>
        <w:pStyle w:val="Normal74c163fb-50fe-4ed9-aa3f-4c74bfc0f4d8"/>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24．</w:t>
      </w:r>
      <w:r>
        <w:rPr>
          <w:rFonts w:ascii="宋体" w:eastAsia="宋体" w:hAnsi="宋体" w:cs="宋体"/>
          <w:color w:val="000000"/>
          <w:sz w:val="21"/>
          <w:shd w:val="clear" w:color="auto" w:fill="auto"/>
          <w:vertAlign w:val="baseline"/>
        </w:rPr>
        <w:t>阅读材料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回答下列问题</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济州岛位于朝鲜半岛以南</w:t>
      </w:r>
      <w:r>
        <w:rPr>
          <w:rFonts w:ascii="Times New Roman" w:eastAsia="Times New Roman" w:hAnsi="Times New Roman" w:cs="Times New Roman"/>
          <w:color w:val="000000"/>
          <w:sz w:val="21"/>
          <w:shd w:val="clear" w:color="auto" w:fill="auto"/>
          <w:vertAlign w:val="baseline"/>
        </w:rPr>
        <w:t>82</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8km</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纬度位置与我国秦岭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淮河一线相近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最高峰汉拿山海拔</w:t>
      </w:r>
      <w:r>
        <w:rPr>
          <w:rFonts w:ascii="Times New Roman" w:eastAsia="Times New Roman" w:hAnsi="Times New Roman" w:cs="Times New Roman"/>
          <w:color w:val="000000"/>
          <w:sz w:val="21"/>
          <w:shd w:val="clear" w:color="auto" w:fill="auto"/>
          <w:vertAlign w:val="baseline"/>
        </w:rPr>
        <w:t>1950m</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该岛最低月均温为</w:t>
      </w:r>
      <w:r>
        <w:rPr>
          <w:rFonts w:ascii="Times New Roman" w:eastAsia="Times New Roman" w:hAnsi="Times New Roman" w:cs="Times New Roman"/>
          <w:color w:val="000000"/>
          <w:sz w:val="21"/>
          <w:shd w:val="clear" w:color="auto" w:fill="auto"/>
          <w:vertAlign w:val="baseline"/>
        </w:rPr>
        <w:t>5</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出现在</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最高月均温为</w:t>
      </w:r>
      <w:r>
        <w:rPr>
          <w:rFonts w:ascii="Times New Roman" w:eastAsia="Times New Roman" w:hAnsi="Times New Roman" w:cs="Times New Roman"/>
          <w:color w:val="000000"/>
          <w:sz w:val="21"/>
          <w:shd w:val="clear" w:color="auto" w:fill="auto"/>
          <w:vertAlign w:val="baseline"/>
        </w:rPr>
        <w:t>25</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出现在</w:t>
      </w:r>
      <w:r>
        <w:rPr>
          <w:rFonts w:ascii="Times New Roman" w:eastAsia="Times New Roman" w:hAnsi="Times New Roman" w:cs="Times New Roman"/>
          <w:color w:val="000000"/>
          <w:sz w:val="21"/>
          <w:shd w:val="clear" w:color="auto" w:fill="auto"/>
          <w:vertAlign w:val="baseline"/>
        </w:rPr>
        <w:t>8</w:t>
      </w:r>
      <w:r>
        <w:rPr>
          <w:rFonts w:ascii="楷体" w:eastAsia="楷体" w:hAnsi="楷体" w:cs="楷体"/>
          <w:color w:val="000000"/>
          <w:sz w:val="21"/>
          <w:shd w:val="clear" w:color="auto" w:fill="auto"/>
          <w:vertAlign w:val="baseline"/>
        </w:rPr>
        <w:t>月</w:t>
      </w:r>
      <w:r>
        <w:rPr>
          <w:rFonts w:ascii="楷体" w:eastAsia="楷体" w:hAnsi="楷体" w:cs="楷体"/>
          <w:color w:val="000000"/>
          <w:sz w:val="21"/>
          <w:shd w:val="clear" w:color="auto" w:fill="auto"/>
          <w:vertAlign w:val="baseline"/>
        </w:rPr>
        <w:t>。</w:t>
      </w:r>
    </w:p>
    <w:p>
      <w:pPr>
        <w:pStyle w:val="Normal74c163fb-50fe-4ed9-aa3f-4c74bfc0f4d8"/>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济州岛位置及周边洋流分布示意图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济州岛地形及年降水量分布图</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86300" cy="2647950"/>
            <wp:effectExtent l="0" t="0" r="0" b="0"/>
            <wp:docPr id="21" name="_x0000_i10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_x0000_i1045" descr="@@@f35a841293cc40aba5209e58bb622b8d"/>
                    <pic:cNvPicPr>
                      <a:picLocks noChangeAspect="1"/>
                    </pic:cNvPicPr>
                  </pic:nvPicPr>
                  <pic:blipFill>
                    <a:blip xmlns:r="http://schemas.openxmlformats.org/officeDocument/2006/relationships" r:embed="rId13"/>
                    <a:stretch>
                      <a:fillRect/>
                    </a:stretch>
                  </pic:blipFill>
                  <pic:spPr>
                    <a:xfrm>
                      <a:off x="0" y="0"/>
                      <a:ext cx="4686300" cy="2647950"/>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描述济州岛的年降水量空间分布特征</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写出济州岛年降水量空间分布格局的影响因素</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分析暖流对济州岛</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月气温的影响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并写出参照依据</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济州岛最低月均温和最高月均温分别出现在</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月和</w:t>
      </w: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与北半球大陆和海洋并不完全相同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请解释其原因</w:t>
      </w:r>
      <w:r>
        <w:rPr>
          <w:rFonts w:ascii="Times New Roman" w:eastAsia="Times New Roman" w:hAnsi="Times New Roman" w:cs="Times New Roman"/>
          <w:color w:val="000000"/>
          <w:sz w:val="21"/>
          <w:shd w:val="clear" w:color="auto" w:fill="auto"/>
          <w:vertAlign w:val="baseline"/>
        </w:rPr>
        <w:t>。</w:t>
      </w:r>
    </w:p>
    <w:p>
      <w:pPr>
        <w:pStyle w:val="Normal74c163fb-50fe-4ed9-aa3f-4c74bfc0f4d8"/>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25．</w:t>
      </w:r>
      <w:r>
        <w:rPr>
          <w:rFonts w:ascii="宋体" w:eastAsia="宋体" w:hAnsi="宋体" w:cs="宋体"/>
          <w:color w:val="000000"/>
          <w:sz w:val="21"/>
          <w:shd w:val="clear" w:color="auto" w:fill="auto"/>
          <w:vertAlign w:val="baseline"/>
        </w:rPr>
        <w:t>阅读材料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回答下列问题</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材料一</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在国务院批复的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江苏省国土空间规划</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2021</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2035</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提出南京都市圈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苏锡常都市圈和淮海经济区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简称</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两圈一区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建设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推动全省高质量发展</w:t>
      </w:r>
      <w:r>
        <w:rPr>
          <w:rFonts w:ascii="楷体" w:eastAsia="楷体" w:hAnsi="楷体" w:cs="楷体"/>
          <w:color w:val="000000"/>
          <w:sz w:val="21"/>
          <w:shd w:val="clear" w:color="auto" w:fill="auto"/>
          <w:vertAlign w:val="baseline"/>
        </w:rPr>
        <w:t>。</w:t>
      </w:r>
    </w:p>
    <w:p>
      <w:pPr>
        <w:pStyle w:val="Normal74c163fb-50fe-4ed9-aa3f-4c74bfc0f4d8"/>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材料二</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下表为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两圈一区的经济社会发展情况</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两圈一区建设规划简图</w:t>
      </w:r>
      <w:r>
        <w:rPr>
          <w:rFonts w:ascii="Times New Roman" w:eastAsia="Times New Roman" w:hAnsi="Times New Roman" w:cs="Times New Roman"/>
          <w:color w:val="000000"/>
          <w:sz w:val="21"/>
          <w:shd w:val="clear" w:color="auto" w:fill="auto"/>
          <w:vertAlign w:val="baseline"/>
        </w:rPr>
        <w:t>”</w:t>
      </w:r>
    </w:p>
    <w:tbl>
      <w:tblPr>
        <w:tblStyle w:val="TableNormal"/>
        <w:tblW w:w="79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1980"/>
        <w:gridCol w:w="1980"/>
        <w:gridCol w:w="1980"/>
        <w:gridCol w:w="1980"/>
      </w:tblGrid>
      <w:tr>
        <w:tblPrEx>
          <w:tblW w:w="79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名称</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中心城市</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中心城市的</w:t>
            </w:r>
            <w:r>
              <w:rPr>
                <w:rFonts w:ascii="Times New Roman" w:eastAsia="Times New Roman" w:hAnsi="Times New Roman" w:cs="Times New Roman"/>
                <w:color w:val="000000"/>
                <w:sz w:val="21"/>
                <w:shd w:val="clear" w:color="auto" w:fill="auto"/>
                <w:vertAlign w:val="baseline"/>
              </w:rPr>
              <w:t>GDP</w:t>
            </w:r>
            <w:r>
              <w:rPr>
                <w:rFonts w:ascii="楷体" w:eastAsia="楷体" w:hAnsi="楷体" w:cs="楷体"/>
                <w:color w:val="000000"/>
                <w:sz w:val="21"/>
                <w:shd w:val="clear" w:color="auto" w:fill="auto"/>
                <w:vertAlign w:val="baseline"/>
              </w:rPr>
              <w:t>占比</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城镇化水平</w:t>
            </w:r>
          </w:p>
        </w:tc>
      </w:tr>
      <w:tr>
        <w:tblPrEx>
          <w:tblW w:w="7920" w:type="dxa"/>
          <w:tblInd w:w="0" w:type="dxa"/>
          <w:tblCellMar>
            <w:top w:w="120" w:type="dxa"/>
            <w:left w:w="120" w:type="dxa"/>
            <w:bottom w:w="120" w:type="dxa"/>
            <w:right w:w="120" w:type="dxa"/>
          </w:tblCellMar>
          <w:tblLook w:val="0600"/>
        </w:tblPrEx>
        <w:trPr>
          <w:trHeight w:hRule="auto" w:val="0"/>
        </w:trPr>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南京都市圈</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南京</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34</w:t>
            </w:r>
            <w:r>
              <w:rPr>
                <w:rFonts w:ascii="楷体" w:eastAsia="楷体" w:hAnsi="楷体" w:cs="楷体"/>
                <w:color w:val="000000"/>
                <w:sz w:val="21"/>
                <w:shd w:val="clear" w:color="auto" w:fill="auto"/>
                <w:vertAlign w:val="baseline"/>
              </w:rPr>
              <w:t>%</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73</w:t>
            </w:r>
            <w:r>
              <w:rPr>
                <w:rFonts w:ascii="楷体" w:eastAsia="楷体" w:hAnsi="楷体" w:cs="楷体"/>
                <w:color w:val="000000"/>
                <w:sz w:val="21"/>
                <w:shd w:val="clear" w:color="auto" w:fill="auto"/>
                <w:vertAlign w:val="baseline"/>
              </w:rPr>
              <w:t>%</w:t>
            </w:r>
          </w:p>
        </w:tc>
      </w:tr>
      <w:tr>
        <w:tblPrEx>
          <w:tblW w:w="7920" w:type="dxa"/>
          <w:tblInd w:w="0" w:type="dxa"/>
          <w:tblCellMar>
            <w:top w:w="120" w:type="dxa"/>
            <w:left w:w="120" w:type="dxa"/>
            <w:bottom w:w="120" w:type="dxa"/>
            <w:right w:w="120" w:type="dxa"/>
          </w:tblCellMar>
          <w:tblLook w:val="0600"/>
        </w:tblPrEx>
        <w:trPr>
          <w:trHeight w:hRule="auto" w:val="0"/>
        </w:trPr>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苏锡常都市圈</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苏州</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无锡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常州</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100</w:t>
            </w:r>
            <w:r>
              <w:rPr>
                <w:rFonts w:ascii="楷体" w:eastAsia="楷体" w:hAnsi="楷体" w:cs="楷体"/>
                <w:color w:val="000000"/>
                <w:sz w:val="21"/>
                <w:shd w:val="clear" w:color="auto" w:fill="auto"/>
                <w:vertAlign w:val="baseline"/>
              </w:rPr>
              <w:t>%</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82</w:t>
            </w:r>
            <w:r>
              <w:rPr>
                <w:rFonts w:ascii="楷体" w:eastAsia="楷体" w:hAnsi="楷体" w:cs="楷体"/>
                <w:color w:val="000000"/>
                <w:sz w:val="21"/>
                <w:shd w:val="clear" w:color="auto" w:fill="auto"/>
                <w:vertAlign w:val="baseline"/>
              </w:rPr>
              <w:t>%</w:t>
            </w:r>
          </w:p>
        </w:tc>
      </w:tr>
      <w:tr>
        <w:tblPrEx>
          <w:tblW w:w="7920" w:type="dxa"/>
          <w:tblInd w:w="0" w:type="dxa"/>
          <w:tblCellMar>
            <w:top w:w="120" w:type="dxa"/>
            <w:left w:w="120" w:type="dxa"/>
            <w:bottom w:w="120" w:type="dxa"/>
            <w:right w:w="120" w:type="dxa"/>
          </w:tblCellMar>
          <w:tblLook w:val="0600"/>
        </w:tblPrEx>
        <w:trPr>
          <w:trHeight w:hRule="auto" w:val="0"/>
        </w:trPr>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淮海经济区</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徐州</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21</w:t>
            </w:r>
            <w:r>
              <w:rPr>
                <w:rFonts w:ascii="楷体" w:eastAsia="楷体" w:hAnsi="楷体" w:cs="楷体"/>
                <w:color w:val="000000"/>
                <w:sz w:val="21"/>
                <w:shd w:val="clear" w:color="auto" w:fill="auto"/>
                <w:vertAlign w:val="baseline"/>
              </w:rPr>
              <w:t>%</w:t>
            </w:r>
          </w:p>
        </w:tc>
        <w:tc>
          <w:tcPr>
            <w:tcW w:w="19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74c163fb-50fe-4ed9-aa3f-4c74bfc0f4d8"/>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60</w:t>
            </w:r>
            <w:r>
              <w:rPr>
                <w:rFonts w:ascii="楷体" w:eastAsia="楷体" w:hAnsi="楷体" w:cs="楷体"/>
                <w:color w:val="000000"/>
                <w:sz w:val="21"/>
                <w:shd w:val="clear" w:color="auto" w:fill="auto"/>
                <w:vertAlign w:val="baseline"/>
              </w:rPr>
              <w:t>%</w:t>
            </w:r>
          </w:p>
        </w:tc>
      </w:tr>
    </w:tbl>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81300" cy="2400300"/>
            <wp:effectExtent l="0" t="0" r="0" b="0"/>
            <wp:docPr id="22" name="_x0000_i10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x0000_i1046" descr="@@@ddbb20dd522844978720b7d71c582b24"/>
                    <pic:cNvPicPr>
                      <a:picLocks noChangeAspect="1"/>
                    </pic:cNvPicPr>
                  </pic:nvPicPr>
                  <pic:blipFill>
                    <a:blip xmlns:r="http://schemas.openxmlformats.org/officeDocument/2006/relationships" r:embed="rId14"/>
                    <a:stretch>
                      <a:fillRect/>
                    </a:stretch>
                  </pic:blipFill>
                  <pic:spPr>
                    <a:xfrm>
                      <a:off x="0" y="0"/>
                      <a:ext cx="2781300" cy="2400300"/>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依据材料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写出两圈一区各自最突出的区位优势</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宋体" w:eastAsia="宋体" w:hAnsi="宋体" w:cs="宋体"/>
          <w:color w:val="000000"/>
          <w:sz w:val="21"/>
          <w:shd w:val="clear" w:color="auto" w:fill="auto"/>
          <w:vertAlign w:val="baseline"/>
        </w:rPr>
        <w:t>南京都市圈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苏锡常都市圈</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淮海经济区</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依据南京都市圏和苏锡常都市圈的名称差异概括各自的空间结构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并简述淮海经济区的空间特点</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为共建卓越的全球城市区域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两圈一区发展可采取的主要措施有</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提升中心城市能级</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打破行政区划壁垒</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提高省会城市首位度</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推动城市间深度融合</w:t>
      </w:r>
      <w:r>
        <w:rPr>
          <w:rFonts w:ascii="Times New Roman" w:eastAsia="Times New Roman" w:hAnsi="Times New Roman" w:cs="Times New Roman"/>
          <w:color w:val="000000"/>
          <w:sz w:val="21"/>
          <w:shd w:val="clear" w:color="auto" w:fill="auto"/>
          <w:vertAlign w:val="baseline"/>
        </w:rPr>
        <w:t>；⑤</w:t>
      </w:r>
      <w:r>
        <w:rPr>
          <w:rFonts w:ascii="宋体" w:eastAsia="宋体" w:hAnsi="宋体" w:cs="宋体"/>
          <w:color w:val="000000"/>
          <w:sz w:val="21"/>
          <w:shd w:val="clear" w:color="auto" w:fill="auto"/>
          <w:vertAlign w:val="baseline"/>
        </w:rPr>
        <w:t>提高区域城镇化水平</w:t>
      </w:r>
      <w:r>
        <w:rPr>
          <w:rFonts w:ascii="Times New Roman" w:eastAsia="Times New Roman" w:hAnsi="Times New Roman" w:cs="Times New Roman"/>
          <w:color w:val="000000"/>
          <w:sz w:val="21"/>
          <w:shd w:val="clear" w:color="auto" w:fill="auto"/>
          <w:vertAlign w:val="baseline"/>
        </w:rPr>
        <w:t>；⑥</w:t>
      </w:r>
      <w:r>
        <w:rPr>
          <w:rFonts w:ascii="宋体" w:eastAsia="宋体" w:hAnsi="宋体" w:cs="宋体"/>
          <w:color w:val="000000"/>
          <w:sz w:val="21"/>
          <w:shd w:val="clear" w:color="auto" w:fill="auto"/>
          <w:vertAlign w:val="baseline"/>
        </w:rPr>
        <w:t>避免城市间同质化竞争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请根据两圈一区的发展情况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选择各自优先采取的措施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填写上述主要措施对应的序号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每个序号限填一次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每空限填一个</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宋体" w:eastAsia="宋体" w:hAnsi="宋体" w:cs="宋体"/>
          <w:color w:val="000000"/>
          <w:sz w:val="21"/>
          <w:shd w:val="clear" w:color="auto" w:fill="auto"/>
          <w:vertAlign w:val="baseline"/>
        </w:rPr>
        <w:t>南京都市圈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宋体" w:eastAsia="宋体" w:hAnsi="宋体" w:cs="宋体"/>
          <w:color w:val="000000"/>
          <w:sz w:val="21"/>
          <w:shd w:val="clear" w:color="auto" w:fill="auto"/>
          <w:vertAlign w:val="baseline"/>
        </w:rPr>
        <w:t>苏锡常都市圈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宋体" w:eastAsia="宋体" w:hAnsi="宋体" w:cs="宋体"/>
          <w:color w:val="000000"/>
          <w:sz w:val="21"/>
          <w:shd w:val="clear" w:color="auto" w:fill="auto"/>
          <w:vertAlign w:val="baseline"/>
        </w:rPr>
        <w:t>淮海经济区</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p>
    <w:p>
      <w:pPr>
        <w:pStyle w:val="Normal74c163fb-50fe-4ed9-aa3f-4c74bfc0f4d8"/>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26．</w:t>
      </w:r>
      <w:r>
        <w:rPr>
          <w:rFonts w:ascii="宋体" w:eastAsia="宋体" w:hAnsi="宋体" w:cs="宋体"/>
          <w:color w:val="000000"/>
          <w:sz w:val="21"/>
          <w:shd w:val="clear" w:color="auto" w:fill="auto"/>
          <w:vertAlign w:val="baseline"/>
        </w:rPr>
        <w:t>阅读材料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回答下列问题</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材料一</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我国的大兴安岭与新西兰的南阿尔卑斯山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走向相似</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均位于中纬度地区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大兴安冷和南阿尔卑斯山的位置及地形示意图</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p>
    <w:p>
      <w:pPr>
        <w:pStyle w:val="Normal74c163fb-50fe-4ed9-aa3f-4c74bfc0f4d8"/>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材料二</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两列山脉东倒均为重要的农业区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农产品商品率都较高</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但面向的市场不同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新西兰畜牧业发达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是著名乳畜产品生产国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粮食自给率约</w:t>
      </w:r>
      <w:r>
        <w:rPr>
          <w:rFonts w:ascii="Times New Roman" w:eastAsia="Times New Roman" w:hAnsi="Times New Roman" w:cs="Times New Roman"/>
          <w:color w:val="000000"/>
          <w:sz w:val="21"/>
          <w:shd w:val="clear" w:color="auto" w:fill="auto"/>
          <w:vertAlign w:val="baseline"/>
        </w:rPr>
        <w:t>60</w:t>
      </w:r>
      <w:r>
        <w:rPr>
          <w:rFonts w:ascii="楷体" w:eastAsia="楷体" w:hAnsi="楷体" w:cs="楷体"/>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95775" cy="1952625"/>
            <wp:effectExtent l="0" t="0" r="9525" b="9525"/>
            <wp:docPr id="23" name="_x0000_i10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_x0000_i1047" descr="@@@01c0eb496bfc49feaf4827e9099db331"/>
                    <pic:cNvPicPr>
                      <a:picLocks noChangeAspect="1"/>
                    </pic:cNvPicPr>
                  </pic:nvPicPr>
                  <pic:blipFill>
                    <a:blip xmlns:r="http://schemas.openxmlformats.org/officeDocument/2006/relationships" r:embed="rId15"/>
                    <a:stretch>
                      <a:fillRect/>
                    </a:stretch>
                  </pic:blipFill>
                  <pic:spPr>
                    <a:xfrm>
                      <a:off x="0" y="0"/>
                      <a:ext cx="4295775" cy="1952625"/>
                    </a:xfrm>
                    <a:prstGeom prst="rect">
                      <a:avLst/>
                    </a:prstGeom>
                  </pic:spPr>
                </pic:pic>
              </a:graphicData>
            </a:graphic>
          </wp:inline>
        </w:drawing>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简述两列山脉东侧地区的气候特征对当地农业活动的不同影响</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两列山脉东侧地区农产品商品率都较高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分析其形成条件的异同</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宋体" w:eastAsia="宋体" w:hAnsi="宋体" w:cs="宋体"/>
          <w:color w:val="000000"/>
          <w:sz w:val="21"/>
          <w:shd w:val="clear" w:color="auto" w:fill="auto"/>
          <w:vertAlign w:val="baseline"/>
        </w:rPr>
        <w:t>相同点</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不同点</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u w:val="single"/>
          <w:shd w:val="clear" w:color="auto" w:fill="auto"/>
          <w:vertAlign w:val="baseline"/>
        </w:rPr>
        <w:t xml:space="preserve">    </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针对新西兰粮食的自给现状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有两种观点</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宋体" w:eastAsia="宋体" w:hAnsi="宋体" w:cs="宋体"/>
          <w:color w:val="000000"/>
          <w:sz w:val="21"/>
          <w:shd w:val="clear" w:color="auto" w:fill="auto"/>
          <w:vertAlign w:val="baseline"/>
        </w:rPr>
        <w:t>观点一认为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在经济全球化背景下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继续通过进口粮食以满足国内需求</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宋体" w:eastAsia="宋体" w:hAnsi="宋体" w:cs="宋体"/>
          <w:color w:val="000000"/>
          <w:sz w:val="21"/>
          <w:shd w:val="clear" w:color="auto" w:fill="auto"/>
          <w:vertAlign w:val="baseline"/>
        </w:rPr>
        <w:t>观点二认为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为保障粮食安全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扩大本国粮食生产以满足国内需求</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宋体" w:eastAsia="宋体" w:hAnsi="宋体" w:cs="宋体"/>
          <w:color w:val="000000"/>
          <w:sz w:val="21"/>
          <w:shd w:val="clear" w:color="auto" w:fill="auto"/>
          <w:vertAlign w:val="baseline"/>
        </w:rPr>
        <w:t>请选择一个你支持的观点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说明理由</w:t>
      </w:r>
      <w:r>
        <w:rPr>
          <w:rFonts w:ascii="Times New Roman" w:eastAsia="Times New Roman" w:hAnsi="Times New Roman" w:cs="Times New Roman"/>
          <w:color w:val="000000"/>
          <w:sz w:val="21"/>
          <w:shd w:val="clear" w:color="auto" w:fill="auto"/>
          <w:vertAlign w:val="baseline"/>
        </w:rPr>
        <w:t>。</w:t>
      </w:r>
    </w:p>
    <w:p>
      <w:pPr>
        <w:pStyle w:val="subTitleStyle1f890f3e-5e98-44a9-b54b-b189820c8d34"/>
        <w:spacing w:before="600" w:after="600" w:afterAutospacing="0"/>
        <w:jc w:val="center"/>
      </w:pPr>
      <w:r>
        <w:br w:type="page"/>
      </w:r>
      <w:r>
        <w:t>参考答案</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C</w:t>
      </w:r>
    </w:p>
    <w:p>
      <w:pPr>
        <w:pStyle w:val="Normal74c163fb-50fe-4ed9-aa3f-4c74bfc0f4d8"/>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已知北京时间是</w:t>
      </w:r>
      <w:r>
        <w:rPr>
          <w:rFonts w:ascii="Times New Roman" w:eastAsia="Times New Roman" w:hAnsi="Times New Roman" w:cs="Times New Roman"/>
          <w:color w:val="000000"/>
          <w:sz w:val="21"/>
          <w:shd w:val="clear" w:color="auto" w:fill="auto"/>
          <w:vertAlign w:val="baseline"/>
        </w:rPr>
        <w:t xml:space="preserve"> 120°E </w:t>
      </w:r>
      <w:r>
        <w:rPr>
          <w:rFonts w:ascii="宋体" w:eastAsia="宋体" w:hAnsi="宋体" w:cs="宋体"/>
          <w:color w:val="000000"/>
          <w:sz w:val="21"/>
          <w:shd w:val="clear" w:color="auto" w:fill="auto"/>
          <w:vertAlign w:val="baseline"/>
        </w:rPr>
        <w:t>的地方时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拉萨经度为</w:t>
      </w:r>
      <w:r>
        <w:rPr>
          <w:rFonts w:ascii="Times New Roman" w:eastAsia="Times New Roman" w:hAnsi="Times New Roman" w:cs="Times New Roman"/>
          <w:color w:val="000000"/>
          <w:sz w:val="21"/>
          <w:shd w:val="clear" w:color="auto" w:fill="auto"/>
          <w:vertAlign w:val="baseline"/>
        </w:rPr>
        <w:t xml:space="preserve"> 91°E，</w:t>
      </w:r>
      <w:r>
        <w:rPr>
          <w:rFonts w:ascii="宋体" w:eastAsia="宋体" w:hAnsi="宋体" w:cs="宋体"/>
          <w:color w:val="000000"/>
          <w:sz w:val="21"/>
          <w:shd w:val="clear" w:color="auto" w:fill="auto"/>
          <w:vertAlign w:val="baseline"/>
        </w:rPr>
        <w:t>两地经度差达</w:t>
      </w:r>
      <w:r>
        <w:rPr>
          <w:rFonts w:ascii="Times New Roman" w:eastAsia="Times New Roman" w:hAnsi="Times New Roman" w:cs="Times New Roman"/>
          <w:color w:val="000000"/>
          <w:sz w:val="21"/>
          <w:shd w:val="clear" w:color="auto" w:fill="auto"/>
          <w:vertAlign w:val="baseline"/>
        </w:rPr>
        <w:t xml:space="preserve"> 29°。</w:t>
      </w:r>
      <w:r>
        <w:rPr>
          <w:rFonts w:ascii="宋体" w:eastAsia="宋体" w:hAnsi="宋体" w:cs="宋体"/>
          <w:color w:val="000000"/>
          <w:sz w:val="21"/>
          <w:shd w:val="clear" w:color="auto" w:fill="auto"/>
          <w:vertAlign w:val="baseline"/>
        </w:rPr>
        <w:t>根据</w:t>
      </w:r>
      <w:r>
        <w:rPr>
          <w:rFonts w:ascii="Times New Roman" w:eastAsia="Times New Roman" w:hAnsi="Times New Roman" w:cs="Times New Roman"/>
          <w:color w:val="000000"/>
          <w:sz w:val="21"/>
          <w:shd w:val="clear" w:color="auto" w:fill="auto"/>
          <w:vertAlign w:val="baseline"/>
        </w:rPr>
        <w:t xml:space="preserve"> 1° </w:t>
      </w:r>
      <w:r>
        <w:rPr>
          <w:rFonts w:ascii="宋体" w:eastAsia="宋体" w:hAnsi="宋体" w:cs="宋体"/>
          <w:color w:val="000000"/>
          <w:sz w:val="21"/>
          <w:shd w:val="clear" w:color="auto" w:fill="auto"/>
          <w:vertAlign w:val="baseline"/>
        </w:rPr>
        <w:t>经度对应</w:t>
      </w:r>
      <w:r>
        <w:rPr>
          <w:rFonts w:ascii="Times New Roman" w:eastAsia="Times New Roman" w:hAnsi="Times New Roman" w:cs="Times New Roman"/>
          <w:color w:val="000000"/>
          <w:sz w:val="21"/>
          <w:shd w:val="clear" w:color="auto" w:fill="auto"/>
          <w:vertAlign w:val="baseline"/>
        </w:rPr>
        <w:t xml:space="preserve"> 4 </w:t>
      </w:r>
      <w:r>
        <w:rPr>
          <w:rFonts w:ascii="宋体" w:eastAsia="宋体" w:hAnsi="宋体" w:cs="宋体"/>
          <w:color w:val="000000"/>
          <w:sz w:val="21"/>
          <w:shd w:val="clear" w:color="auto" w:fill="auto"/>
          <w:vertAlign w:val="baseline"/>
        </w:rPr>
        <w:t>分钟时间差的规律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可算出拉萨地方时比北京时间晚</w:t>
      </w:r>
      <w:r>
        <w:rPr>
          <w:rFonts w:ascii="Times New Roman" w:eastAsia="Times New Roman" w:hAnsi="Times New Roman" w:cs="Times New Roman"/>
          <w:color w:val="000000"/>
          <w:sz w:val="21"/>
          <w:shd w:val="clear" w:color="auto" w:fill="auto"/>
          <w:vertAlign w:val="baseline"/>
        </w:rPr>
        <w:t xml:space="preserve"> 116 </w:t>
      </w:r>
      <w:r>
        <w:rPr>
          <w:rFonts w:ascii="宋体" w:eastAsia="宋体" w:hAnsi="宋体" w:cs="宋体"/>
          <w:color w:val="000000"/>
          <w:sz w:val="21"/>
          <w:shd w:val="clear" w:color="auto" w:fill="auto"/>
          <w:vertAlign w:val="baseline"/>
        </w:rPr>
        <w:t>分钟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w:t>
      </w:r>
      <w:r>
        <w:rPr>
          <w:rFonts w:ascii="Times New Roman" w:eastAsia="Times New Roman" w:hAnsi="Times New Roman" w:cs="Times New Roman"/>
          <w:color w:val="000000"/>
          <w:sz w:val="21"/>
          <w:shd w:val="clear" w:color="auto" w:fill="auto"/>
          <w:vertAlign w:val="baseline"/>
        </w:rPr>
        <w:t xml:space="preserve"> 1 </w:t>
      </w:r>
      <w:r>
        <w:rPr>
          <w:rFonts w:ascii="宋体" w:eastAsia="宋体" w:hAnsi="宋体" w:cs="宋体"/>
          <w:color w:val="000000"/>
          <w:sz w:val="21"/>
          <w:shd w:val="clear" w:color="auto" w:fill="auto"/>
          <w:vertAlign w:val="baseline"/>
        </w:rPr>
        <w:t>小时</w:t>
      </w:r>
      <w:r>
        <w:rPr>
          <w:rFonts w:ascii="Times New Roman" w:eastAsia="Times New Roman" w:hAnsi="Times New Roman" w:cs="Times New Roman"/>
          <w:color w:val="000000"/>
          <w:sz w:val="21"/>
          <w:shd w:val="clear" w:color="auto" w:fill="auto"/>
          <w:vertAlign w:val="baseline"/>
        </w:rPr>
        <w:t xml:space="preserve"> 56 </w:t>
      </w:r>
      <w:r>
        <w:rPr>
          <w:rFonts w:ascii="宋体" w:eastAsia="宋体" w:hAnsi="宋体" w:cs="宋体"/>
          <w:color w:val="000000"/>
          <w:sz w:val="21"/>
          <w:shd w:val="clear" w:color="auto" w:fill="auto"/>
          <w:vertAlign w:val="baseline"/>
        </w:rPr>
        <w:t>分钟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当北京时间为</w:t>
      </w:r>
      <w:r>
        <w:rPr>
          <w:rFonts w:ascii="Times New Roman" w:eastAsia="Times New Roman" w:hAnsi="Times New Roman" w:cs="Times New Roman"/>
          <w:color w:val="000000"/>
          <w:sz w:val="21"/>
          <w:shd w:val="clear" w:color="auto" w:fill="auto"/>
          <w:vertAlign w:val="baseline"/>
        </w:rPr>
        <w:t xml:space="preserve"> 13 </w:t>
      </w:r>
      <w:r>
        <w:rPr>
          <w:rFonts w:ascii="宋体" w:eastAsia="宋体" w:hAnsi="宋体" w:cs="宋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 xml:space="preserve"> 56 </w:t>
      </w:r>
      <w:r>
        <w:rPr>
          <w:rFonts w:ascii="宋体" w:eastAsia="宋体" w:hAnsi="宋体" w:cs="宋体"/>
          <w:color w:val="000000"/>
          <w:sz w:val="21"/>
          <w:shd w:val="clear" w:color="auto" w:fill="auto"/>
          <w:vertAlign w:val="baseline"/>
        </w:rPr>
        <w:t>分时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拉萨地方时为</w:t>
      </w:r>
      <w:r>
        <w:rPr>
          <w:rFonts w:ascii="Times New Roman" w:eastAsia="Times New Roman" w:hAnsi="Times New Roman" w:cs="Times New Roman"/>
          <w:color w:val="000000"/>
          <w:sz w:val="21"/>
          <w:shd w:val="clear" w:color="auto" w:fill="auto"/>
          <w:vertAlign w:val="baseline"/>
        </w:rPr>
        <w:t xml:space="preserve"> 12 </w:t>
      </w:r>
      <w:r>
        <w:rPr>
          <w:rFonts w:ascii="宋体" w:eastAsia="宋体" w:hAnsi="宋体" w:cs="宋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正值正午</w:t>
      </w:r>
      <w:r>
        <w:rPr>
          <w:rFonts w:ascii="Times New Roman" w:eastAsia="Times New Roman" w:hAnsi="Times New Roman" w:cs="Times New Roman"/>
          <w:color w:val="000000"/>
          <w:sz w:val="21"/>
          <w:shd w:val="clear" w:color="auto" w:fill="auto"/>
          <w:vertAlign w:val="baseline"/>
        </w:rPr>
        <w:t xml:space="preserve">。10 </w:t>
      </w:r>
      <w:r>
        <w:rPr>
          <w:rFonts w:ascii="宋体" w:eastAsia="宋体" w:hAnsi="宋体" w:cs="宋体"/>
          <w:color w:val="000000"/>
          <w:sz w:val="21"/>
          <w:shd w:val="clear" w:color="auto" w:fill="auto"/>
          <w:vertAlign w:val="baseline"/>
        </w:rPr>
        <w:t>月中旬太阳直射南半球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位于</w:t>
      </w:r>
      <w:r>
        <w:rPr>
          <w:rFonts w:ascii="Times New Roman" w:eastAsia="Times New Roman" w:hAnsi="Times New Roman" w:cs="Times New Roman"/>
          <w:color w:val="000000"/>
          <w:sz w:val="21"/>
          <w:shd w:val="clear" w:color="auto" w:fill="auto"/>
          <w:vertAlign w:val="baseline"/>
        </w:rPr>
        <w:t xml:space="preserve"> 29°N </w:t>
      </w:r>
      <w:r>
        <w:rPr>
          <w:rFonts w:ascii="宋体" w:eastAsia="宋体" w:hAnsi="宋体" w:cs="宋体"/>
          <w:color w:val="000000"/>
          <w:sz w:val="21"/>
          <w:shd w:val="clear" w:color="auto" w:fill="auto"/>
          <w:vertAlign w:val="baseline"/>
        </w:rPr>
        <w:t>的拉萨正午时太阳在正南天空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所以杆影指向正北</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EFF0F1"/>
          <w:vertAlign w:val="baseline"/>
        </w:rPr>
        <w:t>地球运动涵盖自转与公转</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自转引发昼夜交替</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公转导致昼夜长短及季节变化</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学校作息时间</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如早晚自习</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午休安排</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会依据昼夜长短调整</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夏季昼长早到校</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冬季昼短晚到校</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在观测杆影活动中</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日出到日落的时间和方位变化致使杆影位置与长短改变</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这些均与地球公转直接相关</w:t>
      </w:r>
      <w:r>
        <w:rPr>
          <w:rFonts w:ascii="Times New Roman" w:eastAsia="Times New Roman" w:hAnsi="Times New Roman" w:cs="Times New Roman"/>
          <w:color w:val="000000"/>
          <w:sz w:val="21"/>
          <w:shd w:val="clear" w:color="auto" w:fill="EFF0F1"/>
          <w:vertAlign w:val="baseline"/>
        </w:rPr>
        <w:t xml:space="preserve">，D </w:t>
      </w:r>
      <w:r>
        <w:rPr>
          <w:rFonts w:ascii="宋体" w:eastAsia="宋体" w:hAnsi="宋体" w:cs="宋体"/>
          <w:color w:val="000000"/>
          <w:sz w:val="21"/>
          <w:shd w:val="clear" w:color="auto" w:fill="EFF0F1"/>
          <w:vertAlign w:val="baseline"/>
        </w:rPr>
        <w:t>正确</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学校课程设置</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空间规模与地球运动无关联</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位置选择主要受地形</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气候等因素影响</w:t>
      </w:r>
      <w:r>
        <w:rPr>
          <w:rFonts w:ascii="Times New Roman" w:eastAsia="Times New Roman" w:hAnsi="Times New Roman" w:cs="Times New Roman"/>
          <w:color w:val="000000"/>
          <w:sz w:val="21"/>
          <w:shd w:val="clear" w:color="auto" w:fill="EFF0F1"/>
          <w:vertAlign w:val="baseline"/>
        </w:rPr>
        <w:t>，</w:t>
      </w:r>
      <w:r>
        <w:rPr>
          <w:rFonts w:ascii="宋体" w:eastAsia="宋体" w:hAnsi="宋体" w:cs="宋体"/>
          <w:color w:val="000000"/>
          <w:sz w:val="21"/>
          <w:shd w:val="clear" w:color="auto" w:fill="EFF0F1"/>
          <w:vertAlign w:val="baseline"/>
        </w:rPr>
        <w:t>与地球运动仅存在间接关系</w:t>
      </w:r>
      <w:r>
        <w:rPr>
          <w:rFonts w:ascii="Times New Roman" w:eastAsia="Times New Roman" w:hAnsi="Times New Roman" w:cs="Times New Roman"/>
          <w:color w:val="000000"/>
          <w:sz w:val="21"/>
          <w:shd w:val="clear" w:color="auto" w:fill="EFF0F1"/>
          <w:vertAlign w:val="baseline"/>
        </w:rPr>
        <w:t xml:space="preserve">，ABC </w:t>
      </w:r>
      <w:r>
        <w:rPr>
          <w:rFonts w:ascii="宋体" w:eastAsia="宋体" w:hAnsi="宋体" w:cs="宋体"/>
          <w:color w:val="000000"/>
          <w:sz w:val="21"/>
          <w:shd w:val="clear" w:color="auto" w:fill="EFF0F1"/>
          <w:vertAlign w:val="baseline"/>
        </w:rPr>
        <w:t>错误</w:t>
      </w:r>
      <w:r>
        <w:rPr>
          <w:rFonts w:ascii="Times New Roman" w:eastAsia="Times New Roman" w:hAnsi="Times New Roman" w:cs="Times New Roman"/>
          <w:color w:val="000000"/>
          <w:sz w:val="21"/>
          <w:shd w:val="clear" w:color="auto" w:fill="EFF0F1"/>
          <w:vertAlign w:val="baseline"/>
        </w:rPr>
        <w:t>。</w:t>
      </w:r>
    </w:p>
    <w:p>
      <w:pPr>
        <w:pStyle w:val="Normal74c163fb-50fe-4ed9-aa3f-4c74bfc0f4d8"/>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拉萨地处青藏高原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年降水量少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植被生长的关键限制因素是水分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周边山地缺乏人工灌溉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自然降水难以满足植被需求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而校园内可通过人工浇水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喷灌等方式保障植物水分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极大改善了植被生长条件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因此校园植被优于周边山地</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青藏高原土壤普遍贫瘠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校园土壤肥力提升有限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且植被受土壤肥力影响相对较小</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校园与周边山地处于同一小范围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气候差异不明显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局地气候基本相同</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局部地形变化对植被有一定影响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但并非主要原因</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4．</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6．</w:t>
      </w:r>
      <w:r>
        <w:rPr>
          <w:rFonts w:ascii="Times New Roman" w:eastAsia="Times New Roman" w:hAnsi="Times New Roman" w:cs="Times New Roman"/>
          <w:color w:val="000000"/>
          <w:sz w:val="21"/>
          <w:shd w:val="clear" w:color="auto" w:fill="auto"/>
          <w:vertAlign w:val="baseline"/>
        </w:rPr>
        <w:t>A</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材料明确指出</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加拿大最东端的斯比尔角被称为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加拿大东极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由此可知加拿大东极位于正东方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通过对比各图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发现图</w:t>
      </w:r>
      <w:r>
        <w:rPr>
          <w:rFonts w:ascii="Times New Roman" w:eastAsia="Times New Roman" w:hAnsi="Times New Roman" w:cs="Times New Roman"/>
          <w:color w:val="000000"/>
          <w:sz w:val="21"/>
          <w:shd w:val="clear" w:color="auto" w:fill="auto"/>
          <w:vertAlign w:val="baseline"/>
        </w:rPr>
        <w:t xml:space="preserve"> B </w:t>
      </w:r>
      <w:r>
        <w:rPr>
          <w:rFonts w:ascii="宋体" w:eastAsia="宋体" w:hAnsi="宋体" w:cs="宋体"/>
          <w:color w:val="000000"/>
          <w:sz w:val="21"/>
          <w:shd w:val="clear" w:color="auto" w:fill="auto"/>
          <w:vertAlign w:val="baseline"/>
        </w:rPr>
        <w:t>东方指向与</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加拿大东极</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的方位一致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所以该图的指向标为图</w:t>
      </w:r>
      <w:r>
        <w:rPr>
          <w:rFonts w:ascii="Times New Roman" w:eastAsia="Times New Roman" w:hAnsi="Times New Roman" w:cs="Times New Roman"/>
          <w:color w:val="000000"/>
          <w:sz w:val="21"/>
          <w:shd w:val="clear" w:color="auto" w:fill="auto"/>
          <w:vertAlign w:val="baseline"/>
        </w:rPr>
        <w:t xml:space="preserve"> B，B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地图指向标的主要功能是确定方向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便于判断地图上各元素的相对位置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城市范围由地图比例尺和图幅大小决定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与指向标无关</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旅游简图重点展示特定区域内景点分布和相对位置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指向标能帮助游客明确景点间方位关系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如判断某景点在另一景点的东北方向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符合旅游地图实用性需求</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距离测量依靠比例尺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而非指向标</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交通线路的可读性取决于图例清晰程度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线条绘制等因素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与指向标无直接联系</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房产区位图需展示楼盘位置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周边配套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如学校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的相对方位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常使用指向标和简化图例</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世界航海图侧重航海路线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水深等专业信息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采用经纬网定位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而非简单指向标</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国家政区图以行政区划边界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城市分布为主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比例尺较小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指向标非核心要素</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气象预报图侧重天气系统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气压等数据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通常无指向标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而是用图例表示气象要素</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8．</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9．</w:t>
      </w:r>
      <w:r>
        <w:rPr>
          <w:rFonts w:ascii="Times New Roman" w:eastAsia="Times New Roman" w:hAnsi="Times New Roman" w:cs="Times New Roman"/>
          <w:color w:val="000000"/>
          <w:sz w:val="21"/>
          <w:shd w:val="clear" w:color="auto" w:fill="auto"/>
          <w:vertAlign w:val="baseline"/>
        </w:rPr>
        <w:t>C</w:t>
      </w:r>
    </w:p>
    <w:p>
      <w:pPr>
        <w:pStyle w:val="Normal74c163fb-50fe-4ed9-aa3f-4c74bfc0f4d8"/>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在荒漠地区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植物根系从土壤吸收水分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盐分及营养元素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其残骸分解后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可溶性盐会返回土壤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因此生物作用是促进可溶性盐积聚的关键过程</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地表水下渗时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矿物质虽会向下运移并在淀积层积累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但荒漠地区气候干旱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蒸发旺盛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土壤水分匮乏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淀积作用难以发生</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溶蚀作用依赖大量水分参与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不符合荒漠缺水环境</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风积作用无法借助流水和生物过程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不能促进可溶性盐积聚</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根系较小的肉质植物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其茎叶肉质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具备肥厚的贮水组织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这是显著特征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而枝叶演化成刺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主要目的是减少蒸腾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并非贮水功能</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其他荒漠植物也会通过干旱季节休眠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叶片形成蜡质层等方式适应环境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这些并非肉质植物独有的适应机制</w:t>
      </w:r>
      <w:r>
        <w:rPr>
          <w:rFonts w:ascii="Times New Roman" w:eastAsia="Times New Roman" w:hAnsi="Times New Roman" w:cs="Times New Roman"/>
          <w:color w:val="000000"/>
          <w:sz w:val="21"/>
          <w:shd w:val="clear" w:color="auto" w:fill="auto"/>
          <w:vertAlign w:val="baseline"/>
        </w:rPr>
        <w:t xml:space="preserve">，CD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与阿拉伯半岛相比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我国塔里木盆地纬度更高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冬季气温更低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使得当地荒漠植物更具耐寒特性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阿拉伯半岛气候炎热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其荒漠植物更耐热</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两地均为干旱环境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土壤盐碱含量高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荒漠植物在耐旱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耐盐方面差异并不显著</w:t>
      </w:r>
      <w:r>
        <w:rPr>
          <w:rFonts w:ascii="Times New Roman" w:eastAsia="Times New Roman" w:hAnsi="Times New Roman" w:cs="Times New Roman"/>
          <w:color w:val="000000"/>
          <w:sz w:val="21"/>
          <w:shd w:val="clear" w:color="auto" w:fill="auto"/>
          <w:vertAlign w:val="baseline"/>
        </w:rPr>
        <w:t xml:space="preserve">，AB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10．</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A</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从图示信息来看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该地水平岩层覆盖在弯曲岩层之上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而侵入体又将水平岩层和弯曲岩层切断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依据</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谁被覆盖谁是老的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谁被打断谁是新的</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这一岩层新老关系判断法则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能够明确各地质事件的先后顺序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由于岩浆侵入打断了其他岩层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说明其发生时间最晚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因此最新的地质事件是岩浆侵入</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，ABC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根据地质知识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背斜顶部在形成过程中受张力作用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使得岩层破碎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破碎的岩层抗侵蚀能力减弱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更易被外力侵蚀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进而导致下部更古老的地层出露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所以背斜顶部容易被侵蚀是因为受张力岩层破碎</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断层的存在与背斜顶部易被侵蚀并无直接关联</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岩浆侵入只能体现地质活动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无法反映背斜顶部易被侵蚀的原因</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通常情况下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背斜顶部与翼部的岩性是相同的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岩性差异并非导致背斜顶部易被侵蚀的因素</w:t>
      </w:r>
      <w:r>
        <w:rPr>
          <w:rFonts w:ascii="Times New Roman" w:eastAsia="Times New Roman" w:hAnsi="Times New Roman" w:cs="Times New Roman"/>
          <w:color w:val="000000"/>
          <w:sz w:val="21"/>
          <w:shd w:val="clear" w:color="auto" w:fill="auto"/>
          <w:vertAlign w:val="baseline"/>
        </w:rPr>
        <w:t xml:space="preserve"> ，D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14．</w:t>
      </w:r>
      <w:r>
        <w:rPr>
          <w:rFonts w:ascii="Times New Roman" w:eastAsia="Times New Roman" w:hAnsi="Times New Roman" w:cs="Times New Roman"/>
          <w:color w:val="000000"/>
          <w:sz w:val="21"/>
          <w:shd w:val="clear" w:color="auto" w:fill="auto"/>
          <w:vertAlign w:val="baseline"/>
        </w:rPr>
        <w:t>D</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通过读图发现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我国北方地区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如东北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华北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耕地面积呈减少趋势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而南方地区</w:t>
      </w:r>
      <w:r>
        <w:rPr>
          <w:rFonts w:ascii="Times New Roman" w:eastAsia="Times New Roman" w:hAnsi="Times New Roman" w:cs="Times New Roman"/>
          <w:color w:val="000000"/>
          <w:sz w:val="21"/>
          <w:shd w:val="clear" w:color="auto" w:fill="auto"/>
          <w:vertAlign w:val="baseline"/>
        </w:rPr>
        <w:t xml:space="preserve">（40°N </w:t>
      </w:r>
      <w:r>
        <w:rPr>
          <w:rFonts w:ascii="宋体" w:eastAsia="宋体" w:hAnsi="宋体" w:cs="宋体"/>
          <w:color w:val="000000"/>
          <w:sz w:val="21"/>
          <w:shd w:val="clear" w:color="auto" w:fill="auto"/>
          <w:vertAlign w:val="baseline"/>
        </w:rPr>
        <w:t>以南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如华东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华南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耕地面积有所增加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区域差异明显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由此可推测</w:t>
      </w:r>
      <w:r>
        <w:rPr>
          <w:rFonts w:ascii="Times New Roman" w:eastAsia="Times New Roman" w:hAnsi="Times New Roman" w:cs="Times New Roman"/>
          <w:color w:val="000000"/>
          <w:sz w:val="21"/>
          <w:shd w:val="clear" w:color="auto" w:fill="auto"/>
          <w:vertAlign w:val="baseline"/>
        </w:rPr>
        <w:t xml:space="preserve">，40°N </w:t>
      </w:r>
      <w:r>
        <w:rPr>
          <w:rFonts w:ascii="宋体" w:eastAsia="宋体" w:hAnsi="宋体" w:cs="宋体"/>
          <w:color w:val="000000"/>
          <w:sz w:val="21"/>
          <w:shd w:val="clear" w:color="auto" w:fill="auto"/>
          <w:vertAlign w:val="baseline"/>
        </w:rPr>
        <w:t>纬线大致符合这一划分界线</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。110°E </w:t>
      </w:r>
      <w:r>
        <w:rPr>
          <w:rFonts w:ascii="宋体" w:eastAsia="宋体" w:hAnsi="宋体" w:cs="宋体"/>
          <w:color w:val="000000"/>
          <w:sz w:val="21"/>
          <w:shd w:val="clear" w:color="auto" w:fill="auto"/>
          <w:vertAlign w:val="baseline"/>
        </w:rPr>
        <w:t>经线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胡焕庸线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淮河一线两侧的耕地面积增减情况并无显著差异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无法作为该变化的分界线</w:t>
      </w:r>
      <w:r>
        <w:rPr>
          <w:rFonts w:ascii="Times New Roman" w:eastAsia="Times New Roman" w:hAnsi="Times New Roman" w:cs="Times New Roman"/>
          <w:color w:val="000000"/>
          <w:sz w:val="21"/>
          <w:shd w:val="clear" w:color="auto" w:fill="auto"/>
          <w:vertAlign w:val="baseline"/>
        </w:rPr>
        <w:t xml:space="preserve">，A、C、D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 xml:space="preserve">2009 - 2019 </w:t>
      </w:r>
      <w:r>
        <w:rPr>
          <w:rFonts w:ascii="宋体" w:eastAsia="宋体" w:hAnsi="宋体" w:cs="宋体"/>
          <w:color w:val="000000"/>
          <w:sz w:val="21"/>
          <w:shd w:val="clear" w:color="auto" w:fill="auto"/>
          <w:vertAlign w:val="baseline"/>
        </w:rPr>
        <w:t>年间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随着农业技术进步和作物品种改良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原本不适宜种植某些作物的区域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因新改良品种的出现而变得适宜耕种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这直接促使我国部分省级行政区耕地面积增加</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人口数量增加会增加粮食需求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但不会直接增加耕地面积</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规模效益主要体现在耕地规模扩大或集中经营方面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与耕地面积的实际增减没有直接因果联系</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交通区位改善能提升土地利用效率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但并非耕地面积增加的主要原因</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东南地区耕地资源珍贵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开发城镇建设用地会占用耕地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不利于耕地保护</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西北地区生态脆弱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过度开采地下水易引发荒漠化等生态退化问题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难以持续</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东北地区湿地生态价值高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开发湿地会破坏生态平衡</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西南地区复垦撂荒地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遏制非粮化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如退耕还林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既能保障粮食生产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又能兼顾生态保护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符合可持续发展要求</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15．</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16．</w:t>
      </w:r>
      <w:r>
        <w:rPr>
          <w:rFonts w:ascii="Times New Roman" w:eastAsia="Times New Roman" w:hAnsi="Times New Roman" w:cs="Times New Roman"/>
          <w:color w:val="000000"/>
          <w:sz w:val="21"/>
          <w:shd w:val="clear" w:color="auto" w:fill="auto"/>
          <w:vertAlign w:val="baseline"/>
        </w:rPr>
        <w:t>A</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山麓地带的光热条件与平原地区差异不大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不是首要考虑因素</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亚洲中部气候干旱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山麓地带因高山冰雪融水和山地降水提供稳定水源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是城市发展的关键条件</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矿产分布具有偶然性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未必是城市选址的普遍因素</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山麓地带土壤未必优于其他地区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且干旱区农业发展依赖灌溉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水源更重要</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山麓地带地势险要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易守难攻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历史上政治中心常选址于此以保障安全</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历史因素不是依托地形地势发展成为国家政治中心主要考虑的因素</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国家的政治中心选址更注重其带来的战略意义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农业条件非首要因素</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人口聚集是城市发展的结果而非原因</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17．</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18．</w:t>
      </w:r>
      <w:r>
        <w:rPr>
          <w:rFonts w:ascii="Times New Roman" w:eastAsia="Times New Roman" w:hAnsi="Times New Roman" w:cs="Times New Roman"/>
          <w:color w:val="000000"/>
          <w:sz w:val="21"/>
          <w:shd w:val="clear" w:color="auto" w:fill="auto"/>
          <w:vertAlign w:val="baseline"/>
        </w:rPr>
        <w:t>B</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江苏省经济发达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人均收入应较高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丙和丁人均收入较低</w:t>
      </w:r>
      <w:r>
        <w:rPr>
          <w:rFonts w:ascii="Times New Roman" w:eastAsia="Times New Roman" w:hAnsi="Times New Roman" w:cs="Times New Roman"/>
          <w:color w:val="000000"/>
          <w:sz w:val="21"/>
          <w:shd w:val="clear" w:color="auto" w:fill="auto"/>
          <w:vertAlign w:val="baseline"/>
        </w:rPr>
        <w:t>，CD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根据图中上海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浙江的分布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可推测甲可能是北京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人均收入高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与上海差不多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而乙人均收入小于上海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应该是江苏</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图中可看出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人均收入高的地区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有上海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浙江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广东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江苏等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广东老年人口抚养比最低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上海老年人口抚养比最高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根据所学知识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广东多个城市经济发达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制造业企业多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就业机会多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吸引了大量的青壮年劳动力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降低了老年人口抚养比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而上海高端产业多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对劳动力素质要求较高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主要吸引了高素质劳动力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而高素质劳动力数量较少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人口迁移量较少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使得老年人口抚养比较高</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人均收入高的地区医疗卫生水平均较高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均能满足一般就医需求</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人均收入高的地区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经济发达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生活和医疗水平较高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人口预期寿命都较长</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人均收入高的地区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受传统生育观念的影响较小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出生率均较低</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20．</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21．</w:t>
      </w:r>
      <w:r>
        <w:rPr>
          <w:rFonts w:ascii="Times New Roman" w:eastAsia="Times New Roman" w:hAnsi="Times New Roman" w:cs="Times New Roman"/>
          <w:color w:val="000000"/>
          <w:sz w:val="21"/>
          <w:shd w:val="clear" w:color="auto" w:fill="auto"/>
          <w:vertAlign w:val="baseline"/>
        </w:rPr>
        <w:t>D</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世纪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欧洲殖民者进入东南亚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控制土地并推广经济作物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如丁香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胡椒等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使得土地支配权发生变化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导致农业种植结构转变</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殖民贸易具有掠夺性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并非互惠</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新增作物主要用于出口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本地消费市场未显著扩大</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劳动生产效率提高会降低成本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并不会导致农业种植结构发生转变</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20．</w:t>
      </w: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世纪中叶至</w:t>
      </w:r>
      <w:r>
        <w:rPr>
          <w:rFonts w:ascii="Times New Roman" w:eastAsia="Times New Roman" w:hAnsi="Times New Roman" w:cs="Times New Roman"/>
          <w:color w:val="000000"/>
          <w:sz w:val="21"/>
          <w:shd w:val="clear" w:color="auto" w:fill="auto"/>
          <w:vertAlign w:val="baseline"/>
        </w:rPr>
        <w:t>20</w:t>
      </w:r>
      <w:r>
        <w:rPr>
          <w:rFonts w:ascii="宋体" w:eastAsia="宋体" w:hAnsi="宋体" w:cs="宋体"/>
          <w:color w:val="000000"/>
          <w:sz w:val="21"/>
          <w:shd w:val="clear" w:color="auto" w:fill="auto"/>
          <w:vertAlign w:val="baseline"/>
        </w:rPr>
        <w:t>世纪初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农作物增加了橡胶和油棕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纺织加工与橡胶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油棕关联较小</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钢铁冶炼不直接依赖橡胶</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世纪中叶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汽车制造业兴起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橡胶作为轮胎原料需求激增</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符合题意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煤炭开采与橡胶种植无直接关联</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21．</w:t>
      </w:r>
      <w:r>
        <w:rPr>
          <w:rFonts w:ascii="宋体" w:eastAsia="宋体" w:hAnsi="宋体" w:cs="宋体"/>
          <w:color w:val="000000"/>
          <w:sz w:val="21"/>
          <w:shd w:val="clear" w:color="auto" w:fill="auto"/>
          <w:vertAlign w:val="baseline"/>
        </w:rPr>
        <w:t>国际贸易区域化侧重区域合作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而油棕面向全球市场</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区域环境存在差异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使各地适合种植不同的作物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而单一作物种植面积扩大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与区域环境差异化关系不大</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油棕为经济林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农业生产机械化对油棕种植影响不大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油棕种植面积扩大主要是满足市场需求</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全球经济一体化促进东南亚专业化生产油棕以满足国际需求</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符合题意</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22．</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23．</w:t>
      </w:r>
      <w:r>
        <w:rPr>
          <w:rFonts w:ascii="Times New Roman" w:eastAsia="Times New Roman" w:hAnsi="Times New Roman" w:cs="Times New Roman"/>
          <w:color w:val="000000"/>
          <w:sz w:val="21"/>
          <w:shd w:val="clear" w:color="auto" w:fill="auto"/>
          <w:vertAlign w:val="baseline"/>
        </w:rPr>
        <w:t>C</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】22．</w:t>
      </w:r>
      <w:r>
        <w:rPr>
          <w:rFonts w:ascii="宋体" w:eastAsia="宋体" w:hAnsi="宋体" w:cs="宋体"/>
          <w:color w:val="000000"/>
          <w:sz w:val="21"/>
          <w:shd w:val="clear" w:color="auto" w:fill="auto"/>
          <w:vertAlign w:val="baseline"/>
        </w:rPr>
        <w:t>图中可看出</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模式中村落周围均为耕地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耕地是农业活动空间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故农业活动空间范围最大的是</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模式</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模式中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林草地分布区可能有部分区域不适合发展农业活动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如深山密林</w:t>
      </w:r>
      <w:r>
        <w:rPr>
          <w:rFonts w:ascii="Times New Roman" w:eastAsia="Times New Roman" w:hAnsi="Times New Roman" w:cs="Times New Roman"/>
          <w:color w:val="000000"/>
          <w:sz w:val="21"/>
          <w:shd w:val="clear" w:color="auto" w:fill="auto"/>
          <w:vertAlign w:val="baseline"/>
        </w:rPr>
        <w:t>，③④</w:t>
      </w:r>
      <w:r>
        <w:rPr>
          <w:rFonts w:ascii="宋体" w:eastAsia="宋体" w:hAnsi="宋体" w:cs="宋体"/>
          <w:color w:val="000000"/>
          <w:sz w:val="21"/>
          <w:shd w:val="clear" w:color="auto" w:fill="auto"/>
          <w:vertAlign w:val="baseline"/>
        </w:rPr>
        <w:t>模式中农业活动空间受山地的限制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均不如</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模式农业活动空间范围大</w:t>
      </w:r>
      <w:r>
        <w:rPr>
          <w:rFonts w:ascii="Times New Roman" w:eastAsia="Times New Roman" w:hAnsi="Times New Roman" w:cs="Times New Roman"/>
          <w:color w:val="000000"/>
          <w:sz w:val="21"/>
          <w:shd w:val="clear" w:color="auto" w:fill="auto"/>
          <w:vertAlign w:val="baseline"/>
        </w:rPr>
        <w:t>，BCD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23．</w:t>
      </w:r>
      <w:r>
        <w:rPr>
          <w:rFonts w:ascii="宋体" w:eastAsia="宋体" w:hAnsi="宋体" w:cs="宋体"/>
          <w:color w:val="000000"/>
          <w:sz w:val="21"/>
          <w:shd w:val="clear" w:color="auto" w:fill="auto"/>
          <w:vertAlign w:val="baseline"/>
        </w:rPr>
        <w:t>图中各模式中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林草地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耕地分布不同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体现了不同模式土地利用方式的不同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故提炼四种模式的主要依据是土地利用方式的差异</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四种模式图没有体现村落规模差异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故村落规模不是提炼四种模式的主要依据</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四种模式图未涉及水热条件等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也没有体现作物品种差异</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；③④</w:t>
      </w:r>
      <w:r>
        <w:rPr>
          <w:rFonts w:ascii="宋体" w:eastAsia="宋体" w:hAnsi="宋体" w:cs="宋体"/>
          <w:color w:val="000000"/>
          <w:sz w:val="21"/>
          <w:shd w:val="clear" w:color="auto" w:fill="auto"/>
          <w:vertAlign w:val="baseline"/>
        </w:rPr>
        <w:t>模式中均无河流分布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故提炼四种模式的主要依据不是河流分布</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center"/>
        <w:textAlignment w:val="center"/>
        <w:rPr>
          <w:rFonts w:ascii="黑体" w:eastAsia="黑体" w:hAnsi="黑体" w:cs="黑体"/>
          <w:b/>
          <w:i w:val="0"/>
          <w:color w:val="000000"/>
          <w:sz w:val="30"/>
        </w:rPr>
      </w:pP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24．</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降水量空间分布不均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由中部山区向四周递减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降水最大值位于汉拿山的东侧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总体上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汉拿山的东北侧降水量较多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汉拿山的西南侧降水量较少</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地形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大气环流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洋流</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使气温升高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参照依据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我国秦岭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淮河一线是</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0℃</w:t>
      </w:r>
      <w:r>
        <w:rPr>
          <w:rFonts w:ascii="宋体" w:eastAsia="宋体" w:hAnsi="宋体" w:cs="宋体"/>
          <w:color w:val="000000"/>
          <w:sz w:val="21"/>
          <w:shd w:val="clear" w:color="auto" w:fill="auto"/>
          <w:vertAlign w:val="baseline"/>
        </w:rPr>
        <w:t>等温线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秦岭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淮河一线的</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月平均气温比济州岛的</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月平均气温低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所以暖流对济州岛具有增温的作用</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济州岛靠近大陆且四周环海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故其气候兼具大陆和海洋的特点</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月蒙古一西伯利亚高压势力最强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冬季风强劲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对济州岛降温作用明显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故济州岛全年最低月均温出现在</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由于济州岛四面环海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受海洋作用明显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水的比热容较大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接受太阳辐射升温慢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故其最高月均温产生在</w:t>
      </w: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相对于陆地滞后</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地理事物分布特点描述从整体和局部两个方面进行分析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总体上济州岛的年降水量空间分布不均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汉拿山的东北侧的年降水量相对较多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西南侧的年降水量相对较少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局部方面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年降水量由中部山区向四周递减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极大值出现在汉拿山附近的东侧</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据图</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所示济州岛受从低纬流向高纬的暖流影响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暖流对沿岸地区有增湿的影响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受暖流影响当地的年降水量较大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济州岛地处亚热带季风气候区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而该岛屿四面环海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岛屿中部高四周低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无论是夏季风还是冬季风都会形成迎风坡效应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因此年降水量较大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综上分析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济州岛年降水量空间分布格局的影响因素是地形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大气环流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洋流</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暖流对沿岸有增温增湿的作用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受其影响济州岛</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月气温偏高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济州岛纬度位置与我国秦岭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淮河一线相近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但秦岭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淮河一线是我国</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0℃</w:t>
      </w:r>
      <w:r>
        <w:rPr>
          <w:rFonts w:ascii="宋体" w:eastAsia="宋体" w:hAnsi="宋体" w:cs="宋体"/>
          <w:color w:val="000000"/>
          <w:sz w:val="21"/>
          <w:shd w:val="clear" w:color="auto" w:fill="auto"/>
          <w:vertAlign w:val="baseline"/>
        </w:rPr>
        <w:t>等温线经过的地区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而该岛最低月均温为</w:t>
      </w:r>
      <w:r>
        <w:rPr>
          <w:rFonts w:ascii="Times New Roman" w:eastAsia="Times New Roman" w:hAnsi="Times New Roman" w:cs="Times New Roman"/>
          <w:color w:val="000000"/>
          <w:sz w:val="21"/>
          <w:shd w:val="clear" w:color="auto" w:fill="auto"/>
          <w:vertAlign w:val="baseline"/>
        </w:rPr>
        <w:t>5.1℃，</w:t>
      </w:r>
      <w:r>
        <w:rPr>
          <w:rFonts w:ascii="宋体" w:eastAsia="宋体" w:hAnsi="宋体" w:cs="宋体"/>
          <w:color w:val="000000"/>
          <w:sz w:val="21"/>
          <w:shd w:val="clear" w:color="auto" w:fill="auto"/>
          <w:vertAlign w:val="baseline"/>
        </w:rPr>
        <w:t>出现在</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这说明秦岭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淮河一线的</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月平均气温比济州岛的</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月平均气温低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所以暖流对济州岛具有增温的作用</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济州岛位于朝鲜半岛以南</w:t>
      </w:r>
      <w:r>
        <w:rPr>
          <w:rFonts w:ascii="Times New Roman" w:eastAsia="Times New Roman" w:hAnsi="Times New Roman" w:cs="Times New Roman"/>
          <w:color w:val="000000"/>
          <w:sz w:val="21"/>
          <w:shd w:val="clear" w:color="auto" w:fill="auto"/>
          <w:vertAlign w:val="baseline"/>
        </w:rPr>
        <w:t>82.8km，</w:t>
      </w:r>
      <w:r>
        <w:rPr>
          <w:rFonts w:ascii="宋体" w:eastAsia="宋体" w:hAnsi="宋体" w:cs="宋体"/>
          <w:color w:val="000000"/>
          <w:sz w:val="21"/>
          <w:shd w:val="clear" w:color="auto" w:fill="auto"/>
          <w:vertAlign w:val="baseline"/>
        </w:rPr>
        <w:t>靠近大陆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但该岛屿又四面环海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所以其气候兼具大陆和海洋的特点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济州岛最低月均温出现在</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月是因为较为靠近冬季亚洲高压中心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受强大的亚洲高压影响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冬季风强劲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冬季风是由较高纬度吹向较低纬度寒冷的风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所以受其影响济州岛降温作用明显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故济州岛全年最低月均温出现在</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济州岛四面环海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气温受海洋的调节作用较强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由于海水的比热容较大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夏季与陆地同时增温时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增温较慢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因此北半球陆地最热月普遍是</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而济州岛最高月均温出现的时间延迟到</w:t>
      </w: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相对于陆地滞后</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25．</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省会城市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产业基础雄厚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靠近上海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地理位置优越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经济腹地广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发展空间大</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南京都市圈空间结构以南京为区域中心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空间结构单一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苏锡常都市圈的空间结构涉及三大城市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受上海大城市的辐射带动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淮海经济区是以徐州为中心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包括山东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江苏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安徽四省接壤地区的经济协作区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其主要包括徐州都市圈和淮安增长极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区域内城市发展差异较大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尚处于集聚与辐射能力提升阶段</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（3）③；①；②；⑥；④；⑤</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南京都市圈最突出的区位优势是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南京是江苏的省会城市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经济水平高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产业基础雄厚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由图可看出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苏锡常都市圈靠近上海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地理位置优越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能受到上海大城市的辐射带动作用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图中可看出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淮海经济区空间广阔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腹地广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发展空间大</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从名称来看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南京都市圈主要包括南京市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其空间结构以南京为区域中心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空间结构单一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苏锡常都市圈包括苏州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常州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空间结构涉及三大城市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图中可看出该都市圈临近上海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受上海大城市的辐射带动作用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淮海经济区中心城市是徐州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以徐州为中心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包括山东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江苏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安徽四省接壤地区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区域内城镇化水平相对较低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城市间经济发展差异较大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尚处于集聚与辐射能力提升阶段</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结合材料描述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南京都市圈中心城市</w:t>
      </w:r>
      <w:r>
        <w:rPr>
          <w:rFonts w:ascii="Times New Roman" w:eastAsia="Times New Roman" w:hAnsi="Times New Roman" w:cs="Times New Roman"/>
          <w:color w:val="000000"/>
          <w:sz w:val="21"/>
          <w:shd w:val="clear" w:color="auto" w:fill="auto"/>
          <w:vertAlign w:val="baseline"/>
        </w:rPr>
        <w:t>GDP</w:t>
      </w:r>
      <w:r>
        <w:rPr>
          <w:rFonts w:ascii="宋体" w:eastAsia="宋体" w:hAnsi="宋体" w:cs="宋体"/>
          <w:color w:val="000000"/>
          <w:sz w:val="21"/>
          <w:shd w:val="clear" w:color="auto" w:fill="auto"/>
          <w:vertAlign w:val="baseline"/>
        </w:rPr>
        <w:t>占比不高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城镇化水平不是最高的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适合</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提高省会城市首位度和</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提升中心城市能级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从而带动周边城市发展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苏锡常都市圈中心城市</w:t>
      </w:r>
      <w:r>
        <w:rPr>
          <w:rFonts w:ascii="Times New Roman" w:eastAsia="Times New Roman" w:hAnsi="Times New Roman" w:cs="Times New Roman"/>
          <w:color w:val="000000"/>
          <w:sz w:val="21"/>
          <w:shd w:val="clear" w:color="auto" w:fill="auto"/>
          <w:vertAlign w:val="baseline"/>
        </w:rPr>
        <w:t>GDP</w:t>
      </w:r>
      <w:r>
        <w:rPr>
          <w:rFonts w:ascii="宋体" w:eastAsia="宋体" w:hAnsi="宋体" w:cs="宋体"/>
          <w:color w:val="000000"/>
          <w:sz w:val="21"/>
          <w:shd w:val="clear" w:color="auto" w:fill="auto"/>
          <w:vertAlign w:val="baseline"/>
        </w:rPr>
        <w:t>占比高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涉及三个行政区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适合</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打破行政区划壁垒和</w:t>
      </w:r>
      <w:r>
        <w:rPr>
          <w:rFonts w:ascii="Times New Roman" w:eastAsia="Times New Roman" w:hAnsi="Times New Roman" w:cs="Times New Roman"/>
          <w:color w:val="000000"/>
          <w:sz w:val="21"/>
          <w:shd w:val="clear" w:color="auto" w:fill="auto"/>
          <w:vertAlign w:val="baseline"/>
        </w:rPr>
        <w:t>⑥</w:t>
      </w:r>
      <w:r>
        <w:rPr>
          <w:rFonts w:ascii="宋体" w:eastAsia="宋体" w:hAnsi="宋体" w:cs="宋体"/>
          <w:color w:val="000000"/>
          <w:sz w:val="21"/>
          <w:shd w:val="clear" w:color="auto" w:fill="auto"/>
          <w:vertAlign w:val="baseline"/>
        </w:rPr>
        <w:t>避免城市间同质化竞争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差异化发展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淮海经济区中心城市</w:t>
      </w:r>
      <w:r>
        <w:rPr>
          <w:rFonts w:ascii="Times New Roman" w:eastAsia="Times New Roman" w:hAnsi="Times New Roman" w:cs="Times New Roman"/>
          <w:color w:val="000000"/>
          <w:sz w:val="21"/>
          <w:shd w:val="clear" w:color="auto" w:fill="auto"/>
          <w:vertAlign w:val="baseline"/>
        </w:rPr>
        <w:t>GDP</w:t>
      </w:r>
      <w:r>
        <w:rPr>
          <w:rFonts w:ascii="宋体" w:eastAsia="宋体" w:hAnsi="宋体" w:cs="宋体"/>
          <w:color w:val="000000"/>
          <w:sz w:val="21"/>
          <w:shd w:val="clear" w:color="auto" w:fill="auto"/>
          <w:vertAlign w:val="baseline"/>
        </w:rPr>
        <w:t>占比低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城市化水平低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应</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推动城市间深度融合</w:t>
      </w:r>
      <w:r>
        <w:rPr>
          <w:rFonts w:ascii="Times New Roman" w:eastAsia="Times New Roman" w:hAnsi="Times New Roman" w:cs="Times New Roman"/>
          <w:color w:val="000000"/>
          <w:sz w:val="21"/>
          <w:shd w:val="clear" w:color="auto" w:fill="auto"/>
          <w:vertAlign w:val="baseline"/>
        </w:rPr>
        <w:t>，⑤</w:t>
      </w:r>
      <w:r>
        <w:rPr>
          <w:rFonts w:ascii="宋体" w:eastAsia="宋体" w:hAnsi="宋体" w:cs="宋体"/>
          <w:color w:val="000000"/>
          <w:sz w:val="21"/>
          <w:shd w:val="clear" w:color="auto" w:fill="auto"/>
          <w:vertAlign w:val="baseline"/>
        </w:rPr>
        <w:t>提高区域城镇化水平</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26．</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大兴安岭东侧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夏季高温多雨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冬季寒冷干燥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雨热同期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季风气候显著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有利于种植业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如水稻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南阿尔卑斯山东侧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全年温和湿润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降水季节变率小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有利于多汁牧草的生长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有利于乳畜业的发展</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大兴安岭东部有松嫩平原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三江平原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新西兰有坎特伯雷平原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地势平坦开阔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便于机械化耕作和集中经营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两地均形成特色农业带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配套加工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物流产业链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高度专业化生产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提升商品化效率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人口密度低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东北人均耕地多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新西兰牧场广阔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劳动力投入少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人均农产品盈余高</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农业生产类型不同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大兴安岭东部以粮食种植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玉米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新西兰以畜牧业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乳制品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羊肉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市场方向不同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大兴安岭农产品主要供应国内市场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新西兰产品以出口为导向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如乳制品全球出口第一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政策驱动因素不同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大兴安岭受国家粮基地政策扶持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新西兰由私营农场主导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国际市场需求拉动</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选择加大粮食进口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新西兰耕地有限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畜牧业发达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进口粮食可释放土地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发挥比较优势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用于高效益乳业出口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国际粮价常低于本土种植成本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进口能降低居民生活支出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海运发达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且与多国签有自贸协定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能分散供应风险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具有供应链保障</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宋体" w:eastAsia="宋体" w:hAnsi="宋体" w:cs="宋体"/>
          <w:color w:val="000000"/>
          <w:sz w:val="21"/>
          <w:shd w:val="clear" w:color="auto" w:fill="auto"/>
          <w:vertAlign w:val="baseline"/>
        </w:rPr>
        <w:t>或选择扩大本国粮食生产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小麦自给率目前较低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本土增产可应对国际供应链中断风险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降低进口依赖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已设定耕地保护政策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划定高产农田保护区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严禁开发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为增产提供基础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推广轮作技术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可改善土壤肥力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减少化肥使用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符合生态可持续发展的理念</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我国大兴安岭东侧地区是东北平原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地处温带季风气候区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夏季高温多雨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雨热同期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农业种植的水分和热量条件好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有利于种植业的发展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冬季寒冷漫长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不利于病虫害越冬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农产品品质好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新西兰南阿尔卑斯山东侧是温带海洋性气候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终年温和湿润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降水季节差异小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由于水分条件好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气温适宜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有利于多汁牧草的生长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有利于促进当地乳畜业的发展</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农产品商品率高说明农产品产量大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而当地农产品消费量较少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大兴安岭东部主要是东北平原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包括松嫩平原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三江平原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新西兰有坎特伯雷平原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两地区都是地势平坦开阔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地广人稀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便于机械化耕作和集中经营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农产品产量大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两地均形成特色农业带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东北平原地区有商品谷物农业带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新西兰有畜牧带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相关农产品的配套加工和物流产业链完善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农业高度专业化生产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提升农产品商品化效率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两地均为地广人稀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人口密度均较低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当地市场消费量较少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人均农产品盈余高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不同点是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两地的农业生产类型不同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大兴安岭东部以种植业为主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主要的农产品是粮食作物的小麦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玉米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新西兰以畜牧业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乳制品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羊肉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我国人口众多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农产品消费市场广阔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大兴安岭农产品主要供应国内市场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新西兰人口稀少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农产品主要以出口为导向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如乳制品全球出口第一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对应国际市场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东北平原是我国重要的粮食生产基地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其粮食生产受国家粮基地政策扶持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新西兰由私营农场主导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是个体经营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国际市场需求拉动</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本题是开放性题目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若选择观点一则强调新西兰便于进口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进口成本较低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耕地面积有限等方面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新西兰以畜牧业为主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且平原面积较少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耕地较为有限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进口粮食可释放土地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用以发展畜牧业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用于高效益乳业出口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创造更多的经济效益以购买粮食产品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当地气候并不适宜发展种植业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国际粮价常低于本土种植成本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种植业利润较低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进口能降低居民生活支出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新西兰四面环海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海运发达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适宜粮食农产品的进口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且与多国签有自贸协定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能分散供应风险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粮食供应渠道相对稳定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具有供应链保障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若选择观点二则强调国际粮食产品市场风险以及种植业的可持续发展方面进行叙述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新西兰由于气候不适宜种植粮食作物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所以当地的小麦自给率很低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而国际粮食产品价格波动较大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且受地缘政治变化的影响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本土增产可应对国际供应链中断风险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降低进口依赖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有利于保障粮食安全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新西兰已设定耕地保护政策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划定了高产农田保护区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严禁开发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发展粮食种植业有一定的基础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可为粮食增产提供良好的基础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新西兰是发达国家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可提高粮食种植技术提高产量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例如推广轮作技术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可改善土壤肥力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减少化肥使用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发展绿色生态农业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这也符合生态可持续发展的理念</w:t>
      </w:r>
      <w:r>
        <w:rPr>
          <w:rFonts w:ascii="Times New Roman" w:eastAsia="Times New Roman" w:hAnsi="Times New Roman" w:cs="Times New Roman"/>
          <w:color w:val="000000"/>
          <w:sz w:val="21"/>
          <w:shd w:val="clear" w:color="auto" w:fill="auto"/>
          <w:vertAlign w:val="baseline"/>
        </w:rPr>
        <w:t>。</w:t>
      </w:r>
    </w:p>
    <w:p>
      <w:pPr>
        <w:pStyle w:val="Normal74c163fb-50fe-4ed9-aa3f-4c74bfc0f4d8"/>
        <w:spacing w:line="320" w:lineRule="auto"/>
        <w:jc w:val="left"/>
        <w:textAlignment w:val="center"/>
        <w:rPr>
          <w:sz w:val="21"/>
        </w:rPr>
      </w:pPr>
    </w:p>
    <w:sectPr>
      <w:headerReference w:type="even" r:id="rId16"/>
      <w:headerReference w:type="default" r:id="rId17"/>
      <w:footerReference w:type="even" r:id="rId18"/>
      <w:footerReference w:type="default" r:id="rId19"/>
      <w:headerReference w:type="first" r:id="rId20"/>
      <w:pgSz w:w="11900" w:h="16840" w:orient="portrait"/>
      <w:pgMar w:top="1000" w:right="1800" w:bottom="1200" w:left="1800" w:header="40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width:245.17pt;height:69.81pt;margin-top:0;margin-left:0;mso-position-horizontal:center;mso-position-horizontal-relative:margin;mso-position-vertical:center;mso-position-vertical-relative:margin;position:absolute;rotation:315;z-index:251658240" o:allowincell="f" fillcolor="white" stroked="f">
          <v:fill opacity="0.5"/>
          <v:textpath style="font-family:'Times New Roman';font-size:64pt" string="试题资源网"/>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6" o:spid="_x0000_s2050" type="#_x0000_t136" style="width:245.17pt;height:69.81pt;margin-top:0;margin-left:0;mso-position-horizontal:center;mso-position-horizontal-relative:margin;mso-position-vertical:center;mso-position-vertical-relative:margin;position:absolute;rotation:315;z-index:251659264" o:allowincell="f" fillcolor="white" stroked="f">
          <v:fill opacity="0.5"/>
          <v:textpath style="font-family:'Times New Roman';font-size:64pt" string="试题资源网"/>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1" type="#_x0000_t136" style="width:245.17pt;height:69.81pt;margin-top:0;margin-left:0;mso-position-horizontal:center;mso-position-horizontal-relative:margin;mso-position-vertical:center;mso-position-vertical-relative:margin;position:absolute;rotation:315;z-index:251660288" o:allowincell="f" fillcolor="white" stroked="f">
          <v:fill opacity="0.5"/>
          <v:textpath style="font-family:'Times New Roman';font-size:64pt" string="试题资源网"/>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宋体" w:eastAsia="宋体" w:hAnsi="宋体" w:cs="宋体"/>
      <w:sz w:val="18"/>
      <w:szCs w:val="24"/>
      <w:lang w:val="en-US" w:eastAsia="uk-UA"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TitleStyle">
    <w:name w:val="subTitleStyle"/>
    <w:basedOn w:val="Normal"/>
    <w:qFormat/>
    <w:rPr>
      <w:rFonts w:ascii="宋体" w:eastAsia="宋体" w:hAnsi="宋体" w:cs="宋体"/>
      <w:b/>
      <w:color w:val="000000"/>
      <w:sz w:val="32"/>
    </w:rPr>
  </w:style>
  <w:style w:type="paragraph" w:customStyle="1" w:styleId="Normal74c163fb-50fe-4ed9-aa3f-4c74bfc0f4d8">
    <w:name w:val="Normal_74c163fb-50fe-4ed9-aa3f-4c74bfc0f4d8"/>
    <w:qFormat/>
    <w:rPr>
      <w:rFonts w:ascii="Times New Roman" w:eastAsia="Times New Roman" w:hAnsi="Times New Roman"/>
      <w:sz w:val="24"/>
      <w:szCs w:val="24"/>
      <w:lang w:val="en-US" w:eastAsia="uk-UA" w:bidi="ar-SA"/>
    </w:rPr>
  </w:style>
  <w:style w:type="paragraph" w:customStyle="1" w:styleId="paraStyle">
    <w:name w:val="paraStyle"/>
    <w:basedOn w:val="Normal"/>
    <w:qFormat/>
    <w:rPr>
      <w:b/>
      <w:sz w:val="21"/>
    </w:rPr>
  </w:style>
  <w:style w:type="paragraph" w:customStyle="1" w:styleId="subTitleStyle1f890f3e-5e98-44a9-b54b-b189820c8d34">
    <w:name w:val="subTitleStyle_1f890f3e-5e98-44a9-b54b-b189820c8d34"/>
    <w:basedOn w:val="Normal74c163fb-50fe-4ed9-aa3f-4c74bfc0f4d8"/>
    <w:qFormat/>
    <w:rPr>
      <w:rFonts w:ascii="宋体" w:eastAsia="宋体" w:hAnsi="宋体" w:cs="宋体"/>
      <w:b/>
      <w:color w:val="000000"/>
      <w:sz w:val="32"/>
    </w:rPr>
  </w:style>
  <w:style w:type="table" w:styleId="TableGrid">
    <w:name w:val="Table Gri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header" Target="header1.xml" /><Relationship Id="rId17" Type="http://schemas.openxmlformats.org/officeDocument/2006/relationships/header" Target="header2.xml" /><Relationship Id="rId18" Type="http://schemas.openxmlformats.org/officeDocument/2006/relationships/footer" Target="footer1.xml" /><Relationship Id="rId19" Type="http://schemas.openxmlformats.org/officeDocument/2006/relationships/footer" Target="footer2.xml" /><Relationship Id="rId2" Type="http://schemas.openxmlformats.org/officeDocument/2006/relationships/webSettings" Target="webSettings.xml" /><Relationship Id="rId20" Type="http://schemas.openxmlformats.org/officeDocument/2006/relationships/header" Target="header3.xml" /><Relationship Id="rId21" Type="http://schemas.openxmlformats.org/officeDocument/2006/relationships/theme" Target="theme/theme1.xml" /><Relationship Id="rId22"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Manager>试题资源</Manager>
  <Company>众望教育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试题资源网试卷</dc:title>
  <dc:subject>试题资源</dc:subject>
  <dc:creator>stzy.com</dc:creator>
  <cp:keywords>试题资源, 试卷,课件，题库，组卷，教案，教学资源，众望教育, 必刷题，必刷卷</cp:keywords>
  <dc:description>试题资源网 题好 卷好 备课好</dc:description>
  <cp:lastModifiedBy>试题资源网</cp:lastModifiedBy>
  <cp:revision>1</cp:revision>
  <dcterms:created xsi:type="dcterms:W3CDTF">2025-06-17T11:32:04Z</dcterms:created>
  <dcterms:modified xsi:type="dcterms:W3CDTF">2025-06-17T11:32:04Z</dcterms:modified>
  <cp:category>试题</cp:category>
</cp:coreProperties>
</file>