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1.1.0 -->
  <w:body>
    <w:p>
      <w:pPr>
        <w:pStyle w:val="subTitleStyle"/>
        <w:spacing w:after="100" w:afterAutospacing="0"/>
        <w:jc w:val="center"/>
      </w:pPr>
      <w:r>
        <w:t>2025年普通高中学业水平选择性考试（陕晋宁青卷）地理试题（解析版）</w:t>
      </w:r>
    </w:p>
    <w:p>
      <w:pPr>
        <w:pStyle w:val="Normal9b2f0a30-7e14-4157-a628-15ef70236d99"/>
      </w:pPr>
    </w:p>
    <w:p>
      <w:pPr>
        <w:pStyle w:val="paraStyle"/>
        <w:spacing w:before="200" w:beforeAutospacing="0" w:after="200" w:afterAutospacing="0"/>
      </w:pPr>
      <w:r>
        <w:t>一、单选题</w:t>
      </w:r>
    </w:p>
    <w:p>
      <w:pPr>
        <w:pStyle w:val="Normal9b2f0a30-7e14-4157-a628-15ef70236d99"/>
        <w:numPr>
          <w:ilvl w:val="0"/>
          <w:numId w:val="0"/>
        </w:numPr>
        <w:spacing w:line="320" w:lineRule="auto"/>
        <w:ind w:firstLine="560"/>
        <w:jc w:val="left"/>
        <w:textAlignment w:val="center"/>
      </w:pPr>
      <w:r>
        <w:rPr>
          <w:rFonts w:ascii="楷体" w:eastAsia="楷体" w:hAnsi="楷体" w:cs="楷体"/>
          <w:color w:val="000000"/>
          <w:sz w:val="21"/>
          <w:shd w:val="clear" w:color="auto" w:fill="auto"/>
          <w:vertAlign w:val="baseline"/>
        </w:rPr>
        <w:t>云南保山咖啡种植历史久</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产量大</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然而价格低</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主要向市场供应咖啡豆</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近年来</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当地通过培育和引种</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建立精品咖啡工业园</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文旅融合销售等措施</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保山咖啡实现了由</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论吨卖</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到</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论杯卖</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的转变</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成为云南的新名片</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完成下面小题</w:t>
      </w:r>
      <w:r>
        <w:rPr>
          <w:rFonts w:ascii="楷体" w:eastAsia="楷体" w:hAnsi="楷体" w:cs="楷体"/>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保山咖啡品质提升的关键措施是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9b2f0a30-7e14-4157-a628-15ef70236d99"/>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提高农户技能</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减少化肥施用</w:t>
      </w:r>
    </w:p>
    <w:p>
      <w:pPr>
        <w:pStyle w:val="Normal9b2f0a30-7e14-4157-a628-15ef70236d99"/>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更新改良品种</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改善土壤环境</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当地建立精品咖啡工业园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可能聚集的产业有</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①</w:t>
      </w:r>
      <w:r>
        <w:rPr>
          <w:rFonts w:ascii="宋体" w:eastAsia="宋体" w:hAnsi="宋体" w:cs="宋体"/>
          <w:color w:val="000000"/>
          <w:sz w:val="21"/>
          <w:shd w:val="clear" w:color="auto" w:fill="auto"/>
          <w:vertAlign w:val="baseline"/>
        </w:rPr>
        <w:t>仓储物流</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②</w:t>
      </w:r>
      <w:r>
        <w:rPr>
          <w:rFonts w:ascii="宋体" w:eastAsia="宋体" w:hAnsi="宋体" w:cs="宋体"/>
          <w:color w:val="000000"/>
          <w:sz w:val="21"/>
          <w:shd w:val="clear" w:color="auto" w:fill="auto"/>
          <w:vertAlign w:val="baseline"/>
        </w:rPr>
        <w:t>文化旅游</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③</w:t>
      </w:r>
      <w:r>
        <w:rPr>
          <w:rFonts w:ascii="宋体" w:eastAsia="宋体" w:hAnsi="宋体" w:cs="宋体"/>
          <w:color w:val="000000"/>
          <w:sz w:val="21"/>
          <w:shd w:val="clear" w:color="auto" w:fill="auto"/>
          <w:vertAlign w:val="baseline"/>
        </w:rPr>
        <w:t>精深加工</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④</w:t>
      </w:r>
      <w:r>
        <w:rPr>
          <w:rFonts w:ascii="宋体" w:eastAsia="宋体" w:hAnsi="宋体" w:cs="宋体"/>
          <w:color w:val="000000"/>
          <w:sz w:val="21"/>
          <w:shd w:val="clear" w:color="auto" w:fill="auto"/>
          <w:vertAlign w:val="baseline"/>
        </w:rPr>
        <w:t>金融服务</w:t>
      </w:r>
    </w:p>
    <w:p>
      <w:pPr>
        <w:pStyle w:val="Normal9b2f0a30-7e14-4157-a628-15ef70236d99"/>
        <w:tabs>
          <w:tab w:val="left" w:pos="2078"/>
          <w:tab w:val="left" w:pos="4156"/>
          <w:tab w:val="left" w:pos="6234"/>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A．①②</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B．①③</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C．②④</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D．③④</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保山咖啡实现由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论吨卖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论杯卖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的转变主要是因为</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9b2f0a30-7e14-4157-a628-15ef70236d99"/>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种植方式改进</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市场需求增加</w:t>
      </w:r>
    </w:p>
    <w:p>
      <w:pPr>
        <w:pStyle w:val="Normal9b2f0a30-7e14-4157-a628-15ef70236d99"/>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营销模式多样</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品牌价值提升</w:t>
      </w:r>
    </w:p>
    <w:p>
      <w:pPr>
        <w:pStyle w:val="Normal9b2f0a30-7e14-4157-a628-15ef70236d99"/>
        <w:tabs>
          <w:tab w:val="left" w:pos="4156"/>
        </w:tabs>
        <w:spacing w:line="320" w:lineRule="auto"/>
        <w:ind w:left="300"/>
        <w:jc w:val="left"/>
        <w:textAlignment w:val="center"/>
        <w:rPr>
          <w:sz w:val="21"/>
        </w:rPr>
      </w:pPr>
    </w:p>
    <w:p>
      <w:pPr>
        <w:pStyle w:val="Normal9b2f0a30-7e14-4157-a628-15ef70236d99"/>
        <w:numPr>
          <w:ilvl w:val="0"/>
          <w:numId w:val="0"/>
        </w:numPr>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硅材料是半导体产业的关键原料</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近年来</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我国硅材料产业在国际分工中的地位日益提升</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下图示意</w:t>
      </w:r>
      <w:r>
        <w:rPr>
          <w:rFonts w:ascii="Times New Roman" w:eastAsia="Times New Roman" w:hAnsi="Times New Roman" w:cs="Times New Roman"/>
          <w:color w:val="000000"/>
          <w:sz w:val="21"/>
          <w:shd w:val="clear" w:color="auto" w:fill="auto"/>
          <w:vertAlign w:val="baseline"/>
        </w:rPr>
        <w:t>2001</w:t>
      </w:r>
      <w:r>
        <w:rPr>
          <w:rFonts w:ascii="楷体" w:eastAsia="楷体" w:hAnsi="楷体" w:cs="楷体"/>
          <w:color w:val="000000"/>
          <w:sz w:val="21"/>
          <w:shd w:val="clear" w:color="auto" w:fill="auto"/>
          <w:vertAlign w:val="baseline"/>
        </w:rPr>
        <w:t>年和</w:t>
      </w:r>
      <w:r>
        <w:rPr>
          <w:rFonts w:ascii="Times New Roman" w:eastAsia="Times New Roman" w:hAnsi="Times New Roman" w:cs="Times New Roman"/>
          <w:color w:val="000000"/>
          <w:sz w:val="21"/>
          <w:shd w:val="clear" w:color="auto" w:fill="auto"/>
          <w:vertAlign w:val="baseline"/>
        </w:rPr>
        <w:t>2019</w:t>
      </w:r>
      <w:r>
        <w:rPr>
          <w:rFonts w:ascii="楷体" w:eastAsia="楷体" w:hAnsi="楷体" w:cs="楷体"/>
          <w:color w:val="000000"/>
          <w:sz w:val="21"/>
          <w:shd w:val="clear" w:color="auto" w:fill="auto"/>
          <w:vertAlign w:val="baseline"/>
        </w:rPr>
        <w:t>年不同地区间硅材料主要贸易网络结构</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节点大小反映地区在贸易分工中的地位高低</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线条粗细反映地区间贸易联系强弱</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完成下面小题</w:t>
      </w:r>
      <w:r>
        <w:rPr>
          <w:rFonts w:ascii="楷体" w:eastAsia="楷体" w:hAnsi="楷体" w:cs="楷体"/>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667250" cy="2228850"/>
            <wp:effectExtent l="0" t="0" r="0" b="0"/>
            <wp:docPr id="2" name="_x0000_i102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_x0000_i1026" descr="@@@5addf0f2-8a13-44a0-9e92-e9606cc5c5f8"/>
                    <pic:cNvPicPr>
                      <a:picLocks noChangeAspect="1"/>
                    </pic:cNvPicPr>
                  </pic:nvPicPr>
                  <pic:blipFill>
                    <a:blip xmlns:r="http://schemas.openxmlformats.org/officeDocument/2006/relationships" r:embed="rId4"/>
                    <a:stretch>
                      <a:fillRect/>
                    </a:stretch>
                  </pic:blipFill>
                  <pic:spPr>
                    <a:xfrm>
                      <a:off x="0" y="0"/>
                      <a:ext cx="4667250" cy="2228850"/>
                    </a:xfrm>
                    <a:prstGeom prst="rect">
                      <a:avLst/>
                    </a:prstGeom>
                  </pic:spPr>
                </pic:pic>
              </a:graphicData>
            </a:graphic>
          </wp:inline>
        </w:drawing>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4．</w:t>
      </w:r>
      <w:r>
        <w:rPr>
          <w:rFonts w:ascii="宋体" w:eastAsia="宋体" w:hAnsi="宋体" w:cs="宋体"/>
          <w:color w:val="000000"/>
          <w:sz w:val="21"/>
          <w:shd w:val="clear" w:color="auto" w:fill="auto"/>
          <w:vertAlign w:val="baseline"/>
        </w:rPr>
        <w:t>与</w:t>
      </w:r>
      <w:r>
        <w:rPr>
          <w:rFonts w:ascii="Times New Roman" w:eastAsia="Times New Roman" w:hAnsi="Times New Roman" w:cs="Times New Roman"/>
          <w:color w:val="000000"/>
          <w:sz w:val="21"/>
          <w:shd w:val="clear" w:color="auto" w:fill="auto"/>
          <w:vertAlign w:val="baseline"/>
        </w:rPr>
        <w:t>2001</w:t>
      </w:r>
      <w:r>
        <w:rPr>
          <w:rFonts w:ascii="宋体" w:eastAsia="宋体" w:hAnsi="宋体" w:cs="宋体"/>
          <w:color w:val="000000"/>
          <w:sz w:val="21"/>
          <w:shd w:val="clear" w:color="auto" w:fill="auto"/>
          <w:vertAlign w:val="baseline"/>
        </w:rPr>
        <w:t>年相比</w:t>
      </w:r>
      <w:r>
        <w:rPr>
          <w:rFonts w:ascii="Times New Roman" w:eastAsia="Times New Roman" w:hAnsi="Times New Roman" w:cs="Times New Roman"/>
          <w:color w:val="000000"/>
          <w:sz w:val="21"/>
          <w:shd w:val="clear" w:color="auto" w:fill="auto"/>
          <w:vertAlign w:val="baseline"/>
        </w:rPr>
        <w:t>，2019</w:t>
      </w:r>
      <w:r>
        <w:rPr>
          <w:rFonts w:ascii="宋体" w:eastAsia="宋体" w:hAnsi="宋体" w:cs="宋体"/>
          <w:color w:val="000000"/>
          <w:sz w:val="21"/>
          <w:shd w:val="clear" w:color="auto" w:fill="auto"/>
          <w:vertAlign w:val="baseline"/>
        </w:rPr>
        <w:t>年地区间硅材料贸易联系增强的是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9b2f0a30-7e14-4157-a628-15ef70236d99"/>
        <w:tabs>
          <w:tab w:val="left" w:pos="2078"/>
          <w:tab w:val="left" w:pos="4156"/>
          <w:tab w:val="left" w:pos="6234"/>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北美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南美</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东亚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南欧</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北美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中欧</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东亚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南亚</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5．</w:t>
      </w:r>
      <w:r>
        <w:rPr>
          <w:rFonts w:ascii="宋体" w:eastAsia="宋体" w:hAnsi="宋体" w:cs="宋体"/>
          <w:color w:val="000000"/>
          <w:sz w:val="21"/>
          <w:shd w:val="clear" w:color="auto" w:fill="auto"/>
          <w:vertAlign w:val="baseline"/>
        </w:rPr>
        <w:t>提升我国硅材料贸易安全的重要措施有</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①</w:t>
      </w:r>
      <w:r>
        <w:rPr>
          <w:rFonts w:ascii="宋体" w:eastAsia="宋体" w:hAnsi="宋体" w:cs="宋体"/>
          <w:color w:val="000000"/>
          <w:sz w:val="21"/>
          <w:shd w:val="clear" w:color="auto" w:fill="auto"/>
          <w:vertAlign w:val="baseline"/>
        </w:rPr>
        <w:t>加快技术创新</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②</w:t>
      </w:r>
      <w:r>
        <w:rPr>
          <w:rFonts w:ascii="宋体" w:eastAsia="宋体" w:hAnsi="宋体" w:cs="宋体"/>
          <w:color w:val="000000"/>
          <w:sz w:val="21"/>
          <w:shd w:val="clear" w:color="auto" w:fill="auto"/>
          <w:vertAlign w:val="baseline"/>
        </w:rPr>
        <w:t>拓宽国际合作</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③</w:t>
      </w:r>
      <w:r>
        <w:rPr>
          <w:rFonts w:ascii="宋体" w:eastAsia="宋体" w:hAnsi="宋体" w:cs="宋体"/>
          <w:color w:val="000000"/>
          <w:sz w:val="21"/>
          <w:shd w:val="clear" w:color="auto" w:fill="auto"/>
          <w:vertAlign w:val="baseline"/>
        </w:rPr>
        <w:t>加强就业培训</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④</w:t>
      </w:r>
      <w:r>
        <w:rPr>
          <w:rFonts w:ascii="宋体" w:eastAsia="宋体" w:hAnsi="宋体" w:cs="宋体"/>
          <w:color w:val="000000"/>
          <w:sz w:val="21"/>
          <w:shd w:val="clear" w:color="auto" w:fill="auto"/>
          <w:vertAlign w:val="baseline"/>
        </w:rPr>
        <w:t>扩大生产规模</w:t>
      </w:r>
    </w:p>
    <w:p>
      <w:pPr>
        <w:pStyle w:val="Normal9b2f0a30-7e14-4157-a628-15ef70236d99"/>
        <w:tabs>
          <w:tab w:val="left" w:pos="2078"/>
          <w:tab w:val="left" w:pos="4156"/>
          <w:tab w:val="left" w:pos="6234"/>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A．①②</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B．①③</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C．②④</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D．③④</w:t>
      </w:r>
    </w:p>
    <w:p>
      <w:pPr>
        <w:pStyle w:val="Normal9b2f0a30-7e14-4157-a628-15ef70236d99"/>
        <w:tabs>
          <w:tab w:val="left" w:pos="2078"/>
          <w:tab w:val="left" w:pos="4156"/>
          <w:tab w:val="left" w:pos="6234"/>
        </w:tabs>
        <w:spacing w:line="320" w:lineRule="auto"/>
        <w:ind w:left="300"/>
        <w:jc w:val="left"/>
        <w:textAlignment w:val="center"/>
        <w:rPr>
          <w:sz w:val="21"/>
        </w:rPr>
      </w:pPr>
    </w:p>
    <w:p>
      <w:pPr>
        <w:pStyle w:val="Normal9b2f0a30-7e14-4157-a628-15ef70236d99"/>
        <w:numPr>
          <w:ilvl w:val="0"/>
          <w:numId w:val="0"/>
        </w:numPr>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历史上</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太湖流域是长江三角洲地区的核心区</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有众多不同等级的城镇</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因货物中转所需</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核心区的边缘发展出门户城市</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下图示意长江三角洲地区</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下表为长江三角洲地区部分城镇的演化过程</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完成下面小题</w:t>
      </w:r>
      <w:r>
        <w:rPr>
          <w:rFonts w:ascii="楷体" w:eastAsia="楷体" w:hAnsi="楷体" w:cs="楷体"/>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838450" cy="2790825"/>
            <wp:effectExtent l="0" t="0" r="0" b="9525"/>
            <wp:docPr id="3" name="_x0000_i102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x0000_i1027" descr="@@@7ee69ef1b4994efb96e65fc4d2090a3e"/>
                    <pic:cNvPicPr>
                      <a:picLocks noChangeAspect="1"/>
                    </pic:cNvPicPr>
                  </pic:nvPicPr>
                  <pic:blipFill>
                    <a:blip xmlns:r="http://schemas.openxmlformats.org/officeDocument/2006/relationships" r:embed="rId5"/>
                    <a:stretch>
                      <a:fillRect/>
                    </a:stretch>
                  </pic:blipFill>
                  <pic:spPr>
                    <a:xfrm>
                      <a:off x="0" y="0"/>
                      <a:ext cx="2838450" cy="2790825"/>
                    </a:xfrm>
                    <a:prstGeom prst="rect">
                      <a:avLst/>
                    </a:prstGeom>
                  </pic:spPr>
                </pic:pic>
              </a:graphicData>
            </a:graphic>
          </wp:inline>
        </w:drawing>
      </w:r>
    </w:p>
    <w:tbl>
      <w:tblPr>
        <w:tblStyle w:val="TableNormal"/>
        <w:tblW w:w="727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600"/>
      </w:tblPr>
      <w:tblGrid>
        <w:gridCol w:w="1352"/>
        <w:gridCol w:w="1353"/>
        <w:gridCol w:w="1353"/>
        <w:gridCol w:w="1353"/>
        <w:gridCol w:w="1864"/>
      </w:tblGrid>
      <w:tr>
        <w:tblPrEx>
          <w:tblW w:w="727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600"/>
        </w:tblPrEx>
        <w:trPr>
          <w:trHeight w:hRule="auto" w:val="0"/>
        </w:trPr>
        <w:tc>
          <w:tcPr>
            <w:tcW w:w="1350" w:type="dxa"/>
            <w:vMerge w:val="restart"/>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9b2f0a30-7e14-4157-a628-15ef70236d99"/>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时间</w:t>
            </w:r>
          </w:p>
        </w:tc>
        <w:tc>
          <w:tcPr>
            <w:tcW w:w="4050" w:type="dxa"/>
            <w:gridSpan w:val="3"/>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9b2f0a30-7e14-4157-a628-15ef70236d99"/>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核心区不同等级城镇</w:t>
            </w:r>
          </w:p>
        </w:tc>
        <w:tc>
          <w:tcPr>
            <w:tcW w:w="1350" w:type="dxa"/>
            <w:vMerge w:val="restart"/>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9b2f0a30-7e14-4157-a628-15ef70236d99"/>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门户城市</w:t>
            </w:r>
          </w:p>
        </w:tc>
      </w:tr>
      <w:tr>
        <w:tblPrEx>
          <w:tblW w:w="7275" w:type="dxa"/>
          <w:tblInd w:w="0" w:type="dxa"/>
          <w:tblCellMar>
            <w:top w:w="120" w:type="dxa"/>
            <w:left w:w="120" w:type="dxa"/>
            <w:bottom w:w="120" w:type="dxa"/>
            <w:right w:w="120" w:type="dxa"/>
          </w:tblCellMar>
          <w:tblLook w:val="0600"/>
        </w:tblPrEx>
        <w:trPr>
          <w:trHeight w:hRule="auto" w:val="0"/>
        </w:trPr>
        <w:tc>
          <w:tcPr>
            <w:tcW w:w="0" w:type="auto"/>
            <w:vMerge/>
            <w:tcBorders>
              <w:top w:val="single" w:sz="6" w:space="0" w:color="auto"/>
              <w:left w:val="single" w:sz="6" w:space="0" w:color="auto"/>
              <w:bottom w:val="single" w:sz="6" w:space="0" w:color="auto"/>
              <w:right w:val="single" w:sz="6" w:space="0" w:color="auto"/>
            </w:tcBorders>
          </w:tcPr>
          <w:p>
            <w:pPr>
              <w:pStyle w:val="Normal9b2f0a30-7e14-4157-a628-15ef70236d99"/>
              <w:shd w:val="clear" w:color="auto" w:fill="auto"/>
              <w:spacing w:line="320" w:lineRule="auto"/>
              <w:jc w:val="left"/>
              <w:textAlignment w:val="center"/>
              <w:rPr>
                <w:sz w:val="21"/>
              </w:rPr>
            </w:pPr>
          </w:p>
        </w:tc>
        <w:tc>
          <w:tcPr>
            <w:tcW w:w="135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9b2f0a30-7e14-4157-a628-15ef70236d99"/>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Ⅰ</w:t>
            </w:r>
            <w:r>
              <w:rPr>
                <w:rFonts w:ascii="楷体" w:eastAsia="楷体" w:hAnsi="楷体" w:cs="楷体"/>
                <w:color w:val="000000"/>
                <w:sz w:val="21"/>
                <w:shd w:val="clear" w:color="auto" w:fill="auto"/>
                <w:vertAlign w:val="baseline"/>
              </w:rPr>
              <w:t>级</w:t>
            </w:r>
          </w:p>
        </w:tc>
        <w:tc>
          <w:tcPr>
            <w:tcW w:w="135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9b2f0a30-7e14-4157-a628-15ef70236d99"/>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Ⅱ</w:t>
            </w:r>
            <w:r>
              <w:rPr>
                <w:rFonts w:ascii="楷体" w:eastAsia="楷体" w:hAnsi="楷体" w:cs="楷体"/>
                <w:color w:val="000000"/>
                <w:sz w:val="21"/>
                <w:shd w:val="clear" w:color="auto" w:fill="auto"/>
                <w:vertAlign w:val="baseline"/>
              </w:rPr>
              <w:t>级</w:t>
            </w:r>
          </w:p>
        </w:tc>
        <w:tc>
          <w:tcPr>
            <w:tcW w:w="135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9b2f0a30-7e14-4157-a628-15ef70236d99"/>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Ⅲ</w:t>
            </w:r>
            <w:r>
              <w:rPr>
                <w:rFonts w:ascii="楷体" w:eastAsia="楷体" w:hAnsi="楷体" w:cs="楷体"/>
                <w:color w:val="000000"/>
                <w:sz w:val="21"/>
                <w:shd w:val="clear" w:color="auto" w:fill="auto"/>
                <w:vertAlign w:val="baseline"/>
              </w:rPr>
              <w:t>级</w:t>
            </w:r>
          </w:p>
        </w:tc>
        <w:tc>
          <w:tcPr>
            <w:tcW w:w="0" w:type="auto"/>
            <w:vMerge/>
            <w:tcBorders>
              <w:top w:val="single" w:sz="6" w:space="0" w:color="auto"/>
              <w:left w:val="single" w:sz="6" w:space="0" w:color="auto"/>
              <w:bottom w:val="single" w:sz="6" w:space="0" w:color="auto"/>
              <w:right w:val="single" w:sz="6" w:space="0" w:color="auto"/>
            </w:tcBorders>
          </w:tcPr>
          <w:p>
            <w:pPr>
              <w:pStyle w:val="Normal9b2f0a30-7e14-4157-a628-15ef70236d99"/>
              <w:shd w:val="clear" w:color="auto" w:fill="auto"/>
              <w:spacing w:line="320" w:lineRule="auto"/>
              <w:jc w:val="left"/>
              <w:textAlignment w:val="center"/>
              <w:rPr>
                <w:sz w:val="21"/>
              </w:rPr>
            </w:pPr>
          </w:p>
        </w:tc>
      </w:tr>
      <w:tr>
        <w:tblPrEx>
          <w:tblW w:w="7275" w:type="dxa"/>
          <w:tblInd w:w="0" w:type="dxa"/>
          <w:tblCellMar>
            <w:top w:w="120" w:type="dxa"/>
            <w:left w:w="120" w:type="dxa"/>
            <w:bottom w:w="120" w:type="dxa"/>
            <w:right w:w="120" w:type="dxa"/>
          </w:tblCellMar>
          <w:tblLook w:val="0600"/>
        </w:tblPrEx>
        <w:trPr>
          <w:trHeight w:hRule="auto" w:val="0"/>
        </w:trPr>
        <w:tc>
          <w:tcPr>
            <w:tcW w:w="135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9b2f0a30-7e14-4157-a628-15ef70236d99"/>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明朝以前</w:t>
            </w:r>
          </w:p>
        </w:tc>
        <w:tc>
          <w:tcPr>
            <w:tcW w:w="135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9b2f0a30-7e14-4157-a628-15ef70236d99"/>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苏州</w:t>
            </w:r>
          </w:p>
        </w:tc>
        <w:tc>
          <w:tcPr>
            <w:tcW w:w="135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9b2f0a30-7e14-4157-a628-15ef70236d99"/>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松江</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元朝</w:t>
            </w:r>
            <w:r>
              <w:rPr>
                <w:rFonts w:ascii="楷体" w:eastAsia="楷体" w:hAnsi="楷体" w:cs="楷体"/>
                <w:color w:val="000000"/>
                <w:sz w:val="21"/>
                <w:shd w:val="clear" w:color="auto" w:fill="auto"/>
                <w:vertAlign w:val="baseline"/>
              </w:rPr>
              <w:t>）</w:t>
            </w:r>
          </w:p>
        </w:tc>
        <w:tc>
          <w:tcPr>
            <w:tcW w:w="135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9b2f0a30-7e14-4157-a628-15ef70236d99"/>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无锡太仓</w:t>
            </w:r>
          </w:p>
          <w:p>
            <w:pPr>
              <w:pStyle w:val="Normal9b2f0a30-7e14-4157-a628-15ef70236d99"/>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上海</w:t>
            </w:r>
          </w:p>
        </w:tc>
        <w:tc>
          <w:tcPr>
            <w:tcW w:w="186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9b2f0a30-7e14-4157-a628-15ef70236d99"/>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扬州镇江</w:t>
            </w:r>
          </w:p>
        </w:tc>
      </w:tr>
      <w:tr>
        <w:tblPrEx>
          <w:tblW w:w="7275" w:type="dxa"/>
          <w:tblInd w:w="0" w:type="dxa"/>
          <w:tblCellMar>
            <w:top w:w="120" w:type="dxa"/>
            <w:left w:w="120" w:type="dxa"/>
            <w:bottom w:w="120" w:type="dxa"/>
            <w:right w:w="120" w:type="dxa"/>
          </w:tblCellMar>
          <w:tblLook w:val="0600"/>
        </w:tblPrEx>
        <w:trPr>
          <w:trHeight w:hRule="auto" w:val="0"/>
        </w:trPr>
        <w:tc>
          <w:tcPr>
            <w:tcW w:w="1350" w:type="dxa"/>
            <w:vMerge w:val="restart"/>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9b2f0a30-7e14-4157-a628-15ef70236d99"/>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明清时期</w:t>
            </w:r>
          </w:p>
        </w:tc>
        <w:tc>
          <w:tcPr>
            <w:tcW w:w="135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9b2f0a30-7e14-4157-a628-15ef70236d99"/>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苏州</w:t>
            </w:r>
          </w:p>
        </w:tc>
        <w:tc>
          <w:tcPr>
            <w:tcW w:w="135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9b2f0a30-7e14-4157-a628-15ef70236d99"/>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上海松江</w:t>
            </w:r>
          </w:p>
        </w:tc>
        <w:tc>
          <w:tcPr>
            <w:tcW w:w="135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9b2f0a30-7e14-4157-a628-15ef70236d99"/>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无锡太仓</w:t>
            </w:r>
          </w:p>
        </w:tc>
        <w:tc>
          <w:tcPr>
            <w:tcW w:w="1860" w:type="dxa"/>
            <w:vMerge w:val="restart"/>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9b2f0a30-7e14-4157-a628-15ef70236d99"/>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太仓</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清中期以前</w:t>
            </w:r>
            <w:r>
              <w:rPr>
                <w:rFonts w:ascii="楷体" w:eastAsia="楷体" w:hAnsi="楷体" w:cs="楷体"/>
                <w:color w:val="000000"/>
                <w:sz w:val="21"/>
                <w:shd w:val="clear" w:color="auto" w:fill="auto"/>
                <w:vertAlign w:val="baseline"/>
              </w:rPr>
              <w:t>）</w:t>
            </w:r>
          </w:p>
          <w:p>
            <w:pPr>
              <w:pStyle w:val="Normal9b2f0a30-7e14-4157-a628-15ef70236d99"/>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上海</w:t>
            </w:r>
          </w:p>
          <w:p>
            <w:pPr>
              <w:pStyle w:val="Normal9b2f0a30-7e14-4157-a628-15ef70236d99"/>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清中期以后</w:t>
            </w:r>
            <w:r>
              <w:rPr>
                <w:rFonts w:ascii="楷体" w:eastAsia="楷体" w:hAnsi="楷体" w:cs="楷体"/>
                <w:color w:val="000000"/>
                <w:sz w:val="21"/>
                <w:shd w:val="clear" w:color="auto" w:fill="auto"/>
                <w:vertAlign w:val="baseline"/>
              </w:rPr>
              <w:t>）</w:t>
            </w:r>
          </w:p>
        </w:tc>
      </w:tr>
      <w:tr>
        <w:tblPrEx>
          <w:tblW w:w="7275" w:type="dxa"/>
          <w:tblInd w:w="0" w:type="dxa"/>
          <w:tblCellMar>
            <w:top w:w="120" w:type="dxa"/>
            <w:left w:w="120" w:type="dxa"/>
            <w:bottom w:w="120" w:type="dxa"/>
            <w:right w:w="120" w:type="dxa"/>
          </w:tblCellMar>
          <w:tblLook w:val="0600"/>
        </w:tblPrEx>
        <w:trPr>
          <w:trHeight w:hRule="auto" w:val="0"/>
        </w:trPr>
        <w:tc>
          <w:tcPr>
            <w:tcW w:w="0" w:type="auto"/>
            <w:vMerge/>
            <w:tcBorders>
              <w:top w:val="single" w:sz="6" w:space="0" w:color="auto"/>
              <w:left w:val="single" w:sz="6" w:space="0" w:color="auto"/>
              <w:bottom w:val="single" w:sz="6" w:space="0" w:color="auto"/>
              <w:right w:val="single" w:sz="6" w:space="0" w:color="auto"/>
            </w:tcBorders>
          </w:tcPr>
          <w:p>
            <w:pPr>
              <w:pStyle w:val="Normal9b2f0a30-7e14-4157-a628-15ef70236d99"/>
              <w:shd w:val="clear" w:color="auto" w:fill="auto"/>
              <w:spacing w:line="320" w:lineRule="auto"/>
              <w:jc w:val="left"/>
              <w:textAlignment w:val="center"/>
              <w:rPr>
                <w:sz w:val="21"/>
              </w:rPr>
            </w:pPr>
          </w:p>
        </w:tc>
        <w:tc>
          <w:tcPr>
            <w:tcW w:w="135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9b2f0a30-7e14-4157-a628-15ef70236d99"/>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苏州上海</w:t>
            </w:r>
          </w:p>
        </w:tc>
        <w:tc>
          <w:tcPr>
            <w:tcW w:w="135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9b2f0a30-7e14-4157-a628-15ef70236d99"/>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松江</w:t>
            </w:r>
          </w:p>
        </w:tc>
        <w:tc>
          <w:tcPr>
            <w:tcW w:w="135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9b2f0a30-7e14-4157-a628-15ef70236d99"/>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太仓无锡</w:t>
            </w:r>
          </w:p>
        </w:tc>
        <w:tc>
          <w:tcPr>
            <w:tcW w:w="0" w:type="auto"/>
            <w:vMerge/>
            <w:tcBorders>
              <w:top w:val="single" w:sz="6" w:space="0" w:color="auto"/>
              <w:left w:val="single" w:sz="6" w:space="0" w:color="auto"/>
              <w:bottom w:val="single" w:sz="6" w:space="0" w:color="auto"/>
              <w:right w:val="single" w:sz="6" w:space="0" w:color="auto"/>
            </w:tcBorders>
          </w:tcPr>
          <w:p>
            <w:pPr>
              <w:pStyle w:val="Normal9b2f0a30-7e14-4157-a628-15ef70236d99"/>
              <w:shd w:val="clear" w:color="auto" w:fill="auto"/>
              <w:spacing w:line="320" w:lineRule="auto"/>
              <w:jc w:val="left"/>
              <w:textAlignment w:val="center"/>
              <w:rPr>
                <w:sz w:val="21"/>
              </w:rPr>
            </w:pPr>
          </w:p>
        </w:tc>
      </w:tr>
      <w:tr>
        <w:tblPrEx>
          <w:tblW w:w="7275" w:type="dxa"/>
          <w:tblInd w:w="0" w:type="dxa"/>
          <w:tblCellMar>
            <w:top w:w="120" w:type="dxa"/>
            <w:left w:w="120" w:type="dxa"/>
            <w:bottom w:w="120" w:type="dxa"/>
            <w:right w:w="120" w:type="dxa"/>
          </w:tblCellMar>
          <w:tblLook w:val="0600"/>
        </w:tblPrEx>
        <w:trPr>
          <w:trHeight w:hRule="auto" w:val="0"/>
        </w:trPr>
        <w:tc>
          <w:tcPr>
            <w:tcW w:w="135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9b2f0a30-7e14-4157-a628-15ef70236d99"/>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近代</w:t>
            </w:r>
          </w:p>
        </w:tc>
        <w:tc>
          <w:tcPr>
            <w:tcW w:w="135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9b2f0a30-7e14-4157-a628-15ef70236d99"/>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上海无锡</w:t>
            </w:r>
          </w:p>
        </w:tc>
        <w:tc>
          <w:tcPr>
            <w:tcW w:w="135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9b2f0a30-7e14-4157-a628-15ef70236d99"/>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苏州</w:t>
            </w:r>
          </w:p>
        </w:tc>
        <w:tc>
          <w:tcPr>
            <w:tcW w:w="135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9b2f0a30-7e14-4157-a628-15ef70236d99"/>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太仓</w:t>
            </w:r>
          </w:p>
        </w:tc>
        <w:tc>
          <w:tcPr>
            <w:tcW w:w="186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9b2f0a30-7e14-4157-a628-15ef70236d99"/>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上海</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上海港</w:t>
            </w:r>
            <w:r>
              <w:rPr>
                <w:rFonts w:ascii="楷体" w:eastAsia="楷体" w:hAnsi="楷体" w:cs="楷体"/>
                <w:color w:val="000000"/>
                <w:sz w:val="21"/>
                <w:shd w:val="clear" w:color="auto" w:fill="auto"/>
                <w:vertAlign w:val="baseline"/>
              </w:rPr>
              <w:t>）</w:t>
            </w:r>
          </w:p>
        </w:tc>
      </w:tr>
      <w:tr>
        <w:tblPrEx>
          <w:tblW w:w="7275" w:type="dxa"/>
          <w:tblInd w:w="0" w:type="dxa"/>
          <w:tblCellMar>
            <w:top w:w="120" w:type="dxa"/>
            <w:left w:w="120" w:type="dxa"/>
            <w:bottom w:w="120" w:type="dxa"/>
            <w:right w:w="120" w:type="dxa"/>
          </w:tblCellMar>
          <w:tblLook w:val="0600"/>
        </w:tblPrEx>
        <w:trPr>
          <w:trHeight w:hRule="auto" w:val="0"/>
        </w:trPr>
        <w:tc>
          <w:tcPr>
            <w:tcW w:w="135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9b2f0a30-7e14-4157-a628-15ef70236d99"/>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1990</w:t>
            </w:r>
            <w:r>
              <w:rPr>
                <w:rFonts w:ascii="楷体" w:eastAsia="楷体" w:hAnsi="楷体" w:cs="楷体"/>
                <w:color w:val="000000"/>
                <w:sz w:val="21"/>
                <w:shd w:val="clear" w:color="auto" w:fill="auto"/>
                <w:vertAlign w:val="baseline"/>
              </w:rPr>
              <w:t>年以来</w:t>
            </w:r>
          </w:p>
        </w:tc>
        <w:tc>
          <w:tcPr>
            <w:tcW w:w="135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9b2f0a30-7e14-4157-a628-15ef70236d99"/>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上海</w:t>
            </w:r>
          </w:p>
        </w:tc>
        <w:tc>
          <w:tcPr>
            <w:tcW w:w="135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9b2f0a30-7e14-4157-a628-15ef70236d99"/>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苏州无锡</w:t>
            </w:r>
          </w:p>
        </w:tc>
        <w:tc>
          <w:tcPr>
            <w:tcW w:w="135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9b2f0a30-7e14-4157-a628-15ef70236d99"/>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太仓</w:t>
            </w:r>
          </w:p>
        </w:tc>
        <w:tc>
          <w:tcPr>
            <w:tcW w:w="186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9b2f0a30-7e14-4157-a628-15ef70236d99"/>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上海</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洋山港</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宁波</w:t>
            </w:r>
          </w:p>
          <w:p>
            <w:pPr>
              <w:pStyle w:val="Normal9b2f0a30-7e14-4157-a628-15ef70236d99"/>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舟山</w:t>
            </w:r>
          </w:p>
        </w:tc>
      </w:tr>
    </w:tbl>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6．</w:t>
      </w:r>
      <w:r>
        <w:rPr>
          <w:rFonts w:ascii="宋体" w:eastAsia="宋体" w:hAnsi="宋体" w:cs="宋体"/>
          <w:color w:val="000000"/>
          <w:sz w:val="21"/>
          <w:shd w:val="clear" w:color="auto" w:fill="auto"/>
          <w:vertAlign w:val="baseline"/>
        </w:rPr>
        <w:t>历史上苏州为太湖流域的核心城市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近代其城市等级发生变化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主要由于</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9b2f0a30-7e14-4157-a628-15ef70236d99"/>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主导产业转移</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内陆市场弱化</w:t>
      </w:r>
    </w:p>
    <w:p>
      <w:pPr>
        <w:pStyle w:val="Normal9b2f0a30-7e14-4157-a628-15ef70236d99"/>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交通条件变化</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政策支持减弱</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7．</w:t>
      </w:r>
      <w:r>
        <w:rPr>
          <w:rFonts w:ascii="宋体" w:eastAsia="宋体" w:hAnsi="宋体" w:cs="宋体"/>
          <w:color w:val="000000"/>
          <w:sz w:val="21"/>
          <w:shd w:val="clear" w:color="auto" w:fill="auto"/>
          <w:vertAlign w:val="baseline"/>
        </w:rPr>
        <w:t>长江三角洲门户城市演化的关键驱动力是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9b2f0a30-7e14-4157-a628-15ef70236d99"/>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商品贸易需要</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科技创新推动</w:t>
      </w:r>
    </w:p>
    <w:p>
      <w:pPr>
        <w:pStyle w:val="Normal9b2f0a30-7e14-4157-a628-15ef70236d99"/>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港口条件改善</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城市等级提升</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8．</w:t>
      </w:r>
      <w:r>
        <w:rPr>
          <w:rFonts w:ascii="宋体" w:eastAsia="宋体" w:hAnsi="宋体" w:cs="宋体"/>
          <w:color w:val="000000"/>
          <w:sz w:val="21"/>
          <w:shd w:val="clear" w:color="auto" w:fill="auto"/>
          <w:vertAlign w:val="baseline"/>
        </w:rPr>
        <w:t>上海从门户城市发展为核心城市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受其辐射影响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周边城市</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9b2f0a30-7e14-4157-a628-15ef70236d99"/>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空间布局趋于均衡</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产业集群效应减弱</w:t>
      </w:r>
    </w:p>
    <w:p>
      <w:pPr>
        <w:pStyle w:val="Normal9b2f0a30-7e14-4157-a628-15ef70236d99"/>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地域分工协作增强</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国际竞争地位下降</w:t>
      </w:r>
    </w:p>
    <w:p>
      <w:pPr>
        <w:pStyle w:val="Normal9b2f0a30-7e14-4157-a628-15ef70236d99"/>
        <w:tabs>
          <w:tab w:val="left" w:pos="4156"/>
        </w:tabs>
        <w:spacing w:line="320" w:lineRule="auto"/>
        <w:ind w:left="300"/>
        <w:jc w:val="left"/>
        <w:textAlignment w:val="center"/>
        <w:rPr>
          <w:sz w:val="21"/>
        </w:rPr>
      </w:pPr>
    </w:p>
    <w:p>
      <w:pPr>
        <w:pStyle w:val="Normal9b2f0a30-7e14-4157-a628-15ef70236d99"/>
        <w:numPr>
          <w:ilvl w:val="0"/>
          <w:numId w:val="0"/>
        </w:numPr>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华北平原某村的农田曾被分成大大小小</w:t>
      </w:r>
      <w:r>
        <w:rPr>
          <w:rFonts w:ascii="Times New Roman" w:eastAsia="Times New Roman" w:hAnsi="Times New Roman" w:cs="Times New Roman"/>
          <w:color w:val="000000"/>
          <w:sz w:val="21"/>
          <w:shd w:val="clear" w:color="auto" w:fill="auto"/>
          <w:vertAlign w:val="baseline"/>
        </w:rPr>
        <w:t>100</w:t>
      </w:r>
      <w:r>
        <w:rPr>
          <w:rFonts w:ascii="楷体" w:eastAsia="楷体" w:hAnsi="楷体" w:cs="楷体"/>
          <w:color w:val="000000"/>
          <w:sz w:val="21"/>
          <w:shd w:val="clear" w:color="auto" w:fill="auto"/>
          <w:vertAlign w:val="baseline"/>
        </w:rPr>
        <w:t>多块</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最小的地块不到</w:t>
      </w:r>
      <w:r>
        <w:rPr>
          <w:rFonts w:ascii="Times New Roman" w:eastAsia="Times New Roman" w:hAnsi="Times New Roman" w:cs="Times New Roman"/>
          <w:color w:val="000000"/>
          <w:sz w:val="21"/>
          <w:shd w:val="clear" w:color="auto" w:fill="auto"/>
          <w:vertAlign w:val="baseline"/>
        </w:rPr>
        <w:t>0.3</w:t>
      </w:r>
      <w:r>
        <w:rPr>
          <w:rFonts w:ascii="楷体" w:eastAsia="楷体" w:hAnsi="楷体" w:cs="楷体"/>
          <w:color w:val="000000"/>
          <w:sz w:val="21"/>
          <w:shd w:val="clear" w:color="auto" w:fill="auto"/>
          <w:vertAlign w:val="baseline"/>
        </w:rPr>
        <w:t>亩</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编者注</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1</w:t>
      </w:r>
      <w:r>
        <w:rPr>
          <w:rFonts w:ascii="楷体" w:eastAsia="楷体" w:hAnsi="楷体" w:cs="楷体"/>
          <w:color w:val="000000"/>
          <w:sz w:val="21"/>
          <w:shd w:val="clear" w:color="auto" w:fill="auto"/>
          <w:vertAlign w:val="baseline"/>
        </w:rPr>
        <w:t>亩</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666.67m</w:t>
      </w:r>
      <w:r>
        <w:rPr>
          <w:rFonts w:ascii="Times New Roman" w:eastAsia="Times New Roman" w:hAnsi="Times New Roman" w:cs="Times New Roman"/>
          <w:color w:val="000000"/>
          <w:sz w:val="21"/>
          <w:shd w:val="clear" w:color="auto" w:fill="auto"/>
          <w:vertAlign w:val="superscript"/>
        </w:rPr>
        <w:t>2</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近年来</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部分田间小路</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供行人</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小型农机具等通行的土质路面</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经过整治成为农田</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小田</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变</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大田</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实现了规模化连片种植</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完成下面小题</w:t>
      </w:r>
      <w:r>
        <w:rPr>
          <w:rFonts w:ascii="楷体" w:eastAsia="楷体" w:hAnsi="楷体" w:cs="楷体"/>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9．</w:t>
      </w:r>
      <w:r>
        <w:rPr>
          <w:rFonts w:ascii="宋体" w:eastAsia="宋体" w:hAnsi="宋体" w:cs="宋体"/>
          <w:color w:val="000000"/>
          <w:sz w:val="21"/>
          <w:shd w:val="clear" w:color="auto" w:fill="auto"/>
          <w:vertAlign w:val="baseline"/>
        </w:rPr>
        <w:t>与农田相比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田间小路表层土壤</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9b2f0a30-7e14-4157-a628-15ef70236d99"/>
        <w:tabs>
          <w:tab w:val="left" w:pos="2078"/>
          <w:tab w:val="left" w:pos="4156"/>
          <w:tab w:val="left" w:pos="6234"/>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透水性强</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蒸发量小</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颜色较深</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矿物质少</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10．</w:t>
      </w:r>
      <w:r>
        <w:rPr>
          <w:rFonts w:ascii="宋体" w:eastAsia="宋体" w:hAnsi="宋体" w:cs="宋体"/>
          <w:color w:val="000000"/>
          <w:sz w:val="21"/>
          <w:shd w:val="clear" w:color="auto" w:fill="auto"/>
          <w:vertAlign w:val="baseline"/>
        </w:rPr>
        <w:t>将田间小路整治为农田的有效措施有</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①</w:t>
      </w:r>
      <w:r>
        <w:rPr>
          <w:rFonts w:ascii="宋体" w:eastAsia="宋体" w:hAnsi="宋体" w:cs="宋体"/>
          <w:color w:val="000000"/>
          <w:sz w:val="21"/>
          <w:shd w:val="clear" w:color="auto" w:fill="auto"/>
          <w:vertAlign w:val="baseline"/>
        </w:rPr>
        <w:t>施用有机肥料</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②</w:t>
      </w:r>
      <w:r>
        <w:rPr>
          <w:rFonts w:ascii="宋体" w:eastAsia="宋体" w:hAnsi="宋体" w:cs="宋体"/>
          <w:color w:val="000000"/>
          <w:sz w:val="21"/>
          <w:shd w:val="clear" w:color="auto" w:fill="auto"/>
          <w:vertAlign w:val="baseline"/>
        </w:rPr>
        <w:t>增加黏粒含量</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③</w:t>
      </w:r>
      <w:r>
        <w:rPr>
          <w:rFonts w:ascii="宋体" w:eastAsia="宋体" w:hAnsi="宋体" w:cs="宋体"/>
          <w:color w:val="000000"/>
          <w:sz w:val="21"/>
          <w:shd w:val="clear" w:color="auto" w:fill="auto"/>
          <w:vertAlign w:val="baseline"/>
        </w:rPr>
        <w:t>机械深耕深翻</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④</w:t>
      </w:r>
      <w:r>
        <w:rPr>
          <w:rFonts w:ascii="宋体" w:eastAsia="宋体" w:hAnsi="宋体" w:cs="宋体"/>
          <w:color w:val="000000"/>
          <w:sz w:val="21"/>
          <w:shd w:val="clear" w:color="auto" w:fill="auto"/>
          <w:vertAlign w:val="baseline"/>
        </w:rPr>
        <w:t>灌水淋洗盐分</w:t>
      </w:r>
    </w:p>
    <w:p>
      <w:pPr>
        <w:pStyle w:val="Normal9b2f0a30-7e14-4157-a628-15ef70236d99"/>
        <w:tabs>
          <w:tab w:val="left" w:pos="2078"/>
          <w:tab w:val="left" w:pos="4156"/>
          <w:tab w:val="left" w:pos="6234"/>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A．①②</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B．①③</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C．②④</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D．③④</w:t>
      </w:r>
    </w:p>
    <w:p>
      <w:pPr>
        <w:pStyle w:val="Normal9b2f0a30-7e14-4157-a628-15ef70236d99"/>
        <w:tabs>
          <w:tab w:val="left" w:pos="2078"/>
          <w:tab w:val="left" w:pos="4156"/>
          <w:tab w:val="left" w:pos="6234"/>
        </w:tabs>
        <w:spacing w:line="320" w:lineRule="auto"/>
        <w:ind w:left="380"/>
        <w:jc w:val="left"/>
        <w:textAlignment w:val="center"/>
        <w:rPr>
          <w:sz w:val="21"/>
        </w:rPr>
      </w:pPr>
    </w:p>
    <w:p>
      <w:pPr>
        <w:pStyle w:val="Normal9b2f0a30-7e14-4157-a628-15ef70236d99"/>
        <w:numPr>
          <w:ilvl w:val="0"/>
          <w:numId w:val="0"/>
        </w:numPr>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阿尔卑斯山脉的勒奇山谷曾经历一次极端天气过程</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如表所示</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图示意</w:t>
      </w:r>
      <w:r>
        <w:rPr>
          <w:rFonts w:ascii="Times New Roman" w:eastAsia="Times New Roman" w:hAnsi="Times New Roman" w:cs="Times New Roman"/>
          <w:color w:val="000000"/>
          <w:sz w:val="21"/>
          <w:shd w:val="clear" w:color="auto" w:fill="auto"/>
          <w:vertAlign w:val="baseline"/>
        </w:rPr>
        <w:t>10</w:t>
      </w:r>
      <w:r>
        <w:rPr>
          <w:rFonts w:ascii="楷体" w:eastAsia="楷体" w:hAnsi="楷体" w:cs="楷体"/>
          <w:color w:val="000000"/>
          <w:sz w:val="21"/>
          <w:shd w:val="clear" w:color="auto" w:fill="auto"/>
          <w:vertAlign w:val="baseline"/>
        </w:rPr>
        <w:t>日勒奇山谷气流路径</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完成下面小题</w:t>
      </w:r>
      <w:r>
        <w:rPr>
          <w:rFonts w:ascii="楷体" w:eastAsia="楷体" w:hAnsi="楷体" w:cs="楷体"/>
          <w:color w:val="000000"/>
          <w:sz w:val="21"/>
          <w:shd w:val="clear" w:color="auto" w:fill="auto"/>
          <w:vertAlign w:val="baseline"/>
        </w:rPr>
        <w:t>。</w:t>
      </w:r>
    </w:p>
    <w:tbl>
      <w:tblPr>
        <w:tblStyle w:val="TableNormal"/>
        <w:tblW w:w="73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600"/>
      </w:tblPr>
      <w:tblGrid>
        <w:gridCol w:w="1848"/>
        <w:gridCol w:w="1849"/>
        <w:gridCol w:w="1849"/>
        <w:gridCol w:w="1849"/>
      </w:tblGrid>
      <w:tr>
        <w:tblPrEx>
          <w:tblW w:w="73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600"/>
        </w:tblPrEx>
        <w:trPr>
          <w:trHeight w:hRule="auto" w:val="0"/>
        </w:trPr>
        <w:tc>
          <w:tcPr>
            <w:tcW w:w="184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9b2f0a30-7e14-4157-a628-15ef70236d99"/>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日期</w:t>
            </w:r>
          </w:p>
        </w:tc>
        <w:tc>
          <w:tcPr>
            <w:tcW w:w="184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9b2f0a30-7e14-4157-a628-15ef70236d99"/>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气团源地</w:t>
            </w:r>
          </w:p>
        </w:tc>
        <w:tc>
          <w:tcPr>
            <w:tcW w:w="184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9b2f0a30-7e14-4157-a628-15ef70236d99"/>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气团性质</w:t>
            </w:r>
          </w:p>
        </w:tc>
        <w:tc>
          <w:tcPr>
            <w:tcW w:w="184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9b2f0a30-7e14-4157-a628-15ef70236d99"/>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天气状况</w:t>
            </w:r>
          </w:p>
        </w:tc>
      </w:tr>
      <w:tr>
        <w:tblPrEx>
          <w:tblW w:w="7395" w:type="dxa"/>
          <w:tblInd w:w="0" w:type="dxa"/>
          <w:tblCellMar>
            <w:top w:w="120" w:type="dxa"/>
            <w:left w:w="120" w:type="dxa"/>
            <w:bottom w:w="120" w:type="dxa"/>
            <w:right w:w="120" w:type="dxa"/>
          </w:tblCellMar>
          <w:tblLook w:val="0600"/>
        </w:tblPrEx>
        <w:trPr>
          <w:trHeight w:hRule="auto" w:val="0"/>
        </w:trPr>
        <w:tc>
          <w:tcPr>
            <w:tcW w:w="184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9b2f0a30-7e14-4157-a628-15ef70236d99"/>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10</w:t>
            </w:r>
            <w:r>
              <w:rPr>
                <w:rFonts w:ascii="楷体" w:eastAsia="楷体" w:hAnsi="楷体" w:cs="楷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8~9</w:t>
            </w:r>
            <w:r>
              <w:rPr>
                <w:rFonts w:ascii="楷体" w:eastAsia="楷体" w:hAnsi="楷体" w:cs="楷体"/>
                <w:color w:val="000000"/>
                <w:sz w:val="21"/>
                <w:shd w:val="clear" w:color="auto" w:fill="auto"/>
                <w:vertAlign w:val="baseline"/>
              </w:rPr>
              <w:t>日</w:t>
            </w:r>
          </w:p>
        </w:tc>
        <w:tc>
          <w:tcPr>
            <w:tcW w:w="184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9b2f0a30-7e14-4157-a628-15ef70236d99"/>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斯堪的纳维亚半岛</w:t>
            </w:r>
          </w:p>
        </w:tc>
        <w:tc>
          <w:tcPr>
            <w:tcW w:w="184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9b2f0a30-7e14-4157-a628-15ef70236d99"/>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温度低</w:t>
            </w:r>
          </w:p>
        </w:tc>
        <w:tc>
          <w:tcPr>
            <w:tcW w:w="184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9b2f0a30-7e14-4157-a628-15ef70236d99"/>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持续性降雪</w:t>
            </w:r>
          </w:p>
        </w:tc>
      </w:tr>
      <w:tr>
        <w:tblPrEx>
          <w:tblW w:w="7395" w:type="dxa"/>
          <w:tblInd w:w="0" w:type="dxa"/>
          <w:tblCellMar>
            <w:top w:w="120" w:type="dxa"/>
            <w:left w:w="120" w:type="dxa"/>
            <w:bottom w:w="120" w:type="dxa"/>
            <w:right w:w="120" w:type="dxa"/>
          </w:tblCellMar>
          <w:tblLook w:val="0600"/>
        </w:tblPrEx>
        <w:trPr>
          <w:trHeight w:hRule="auto" w:val="0"/>
        </w:trPr>
        <w:tc>
          <w:tcPr>
            <w:tcW w:w="184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9b2f0a30-7e14-4157-a628-15ef70236d99"/>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10</w:t>
            </w:r>
            <w:r>
              <w:rPr>
                <w:rFonts w:ascii="楷体" w:eastAsia="楷体" w:hAnsi="楷体" w:cs="楷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10</w:t>
            </w:r>
            <w:r>
              <w:rPr>
                <w:rFonts w:ascii="楷体" w:eastAsia="楷体" w:hAnsi="楷体" w:cs="楷体"/>
                <w:color w:val="000000"/>
                <w:sz w:val="21"/>
                <w:shd w:val="clear" w:color="auto" w:fill="auto"/>
                <w:vertAlign w:val="baseline"/>
              </w:rPr>
              <w:t>日</w:t>
            </w:r>
          </w:p>
        </w:tc>
        <w:tc>
          <w:tcPr>
            <w:tcW w:w="184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9b2f0a30-7e14-4157-a628-15ef70236d99"/>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大西洋</w:t>
            </w:r>
          </w:p>
        </w:tc>
        <w:tc>
          <w:tcPr>
            <w:tcW w:w="184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9b2f0a30-7e14-4157-a628-15ef70236d99"/>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水汽充足</w:t>
            </w:r>
          </w:p>
        </w:tc>
        <w:tc>
          <w:tcPr>
            <w:tcW w:w="184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9b2f0a30-7e14-4157-a628-15ef70236d99"/>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暴雨</w:t>
            </w:r>
          </w:p>
        </w:tc>
      </w:tr>
    </w:tbl>
    <w:p>
      <w:pPr>
        <w:pStyle w:val="Normal9b2f0a30-7e14-4157-a628-15ef70236d99"/>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038600" cy="1781175"/>
            <wp:effectExtent l="0" t="0" r="0" b="9525"/>
            <wp:docPr id="4" name="_x0000_i102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_x0000_i1028" descr="@@@4f6b1e667a2d4622810d1d9601141afb"/>
                    <pic:cNvPicPr>
                      <a:picLocks noChangeAspect="1"/>
                    </pic:cNvPicPr>
                  </pic:nvPicPr>
                  <pic:blipFill>
                    <a:blip xmlns:r="http://schemas.openxmlformats.org/officeDocument/2006/relationships" r:embed="rId6"/>
                    <a:stretch>
                      <a:fillRect/>
                    </a:stretch>
                  </pic:blipFill>
                  <pic:spPr>
                    <a:xfrm>
                      <a:off x="0" y="0"/>
                      <a:ext cx="4038600" cy="1781175"/>
                    </a:xfrm>
                    <a:prstGeom prst="rect">
                      <a:avLst/>
                    </a:prstGeom>
                  </pic:spPr>
                </pic:pic>
              </a:graphicData>
            </a:graphic>
          </wp:inline>
        </w:drawing>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11．</w:t>
      </w:r>
      <w:r>
        <w:rPr>
          <w:rFonts w:ascii="Times New Roman" w:eastAsia="Times New Roman" w:hAnsi="Times New Roman" w:cs="Times New Roman"/>
          <w:color w:val="000000"/>
          <w:sz w:val="21"/>
          <w:shd w:val="clear" w:color="auto" w:fill="auto"/>
          <w:vertAlign w:val="baseline"/>
        </w:rPr>
        <w:t>8~9</w:t>
      </w:r>
      <w:r>
        <w:rPr>
          <w:rFonts w:ascii="宋体" w:eastAsia="宋体" w:hAnsi="宋体" w:cs="宋体"/>
          <w:color w:val="000000"/>
          <w:sz w:val="21"/>
          <w:shd w:val="clear" w:color="auto" w:fill="auto"/>
          <w:vertAlign w:val="baseline"/>
        </w:rPr>
        <w:t>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勒奇山谷出现持续低温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主要原因是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9b2f0a30-7e14-4157-a628-15ef70236d99"/>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坡面积雪反射率高</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云量大云层厚</w:t>
      </w:r>
    </w:p>
    <w:p>
      <w:pPr>
        <w:pStyle w:val="Normal9b2f0a30-7e14-4157-a628-15ef70236d99"/>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谷底积雪消融吸热</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强冷空气影响</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12．</w:t>
      </w:r>
      <w:r>
        <w:rPr>
          <w:rFonts w:ascii="Times New Roman" w:eastAsia="Times New Roman" w:hAnsi="Times New Roman" w:cs="Times New Roman"/>
          <w:color w:val="000000"/>
          <w:sz w:val="21"/>
          <w:shd w:val="clear" w:color="auto" w:fill="auto"/>
          <w:vertAlign w:val="baseline"/>
        </w:rPr>
        <w:t>10</w:t>
      </w:r>
      <w:r>
        <w:rPr>
          <w:rFonts w:ascii="宋体" w:eastAsia="宋体" w:hAnsi="宋体" w:cs="宋体"/>
          <w:color w:val="000000"/>
          <w:sz w:val="21"/>
          <w:shd w:val="clear" w:color="auto" w:fill="auto"/>
          <w:vertAlign w:val="baseline"/>
        </w:rPr>
        <w:t>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勒奇山谷中甲</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丙三处的降水量大小关系是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9b2f0a30-7e14-4157-a628-15ef70236d99"/>
        <w:tabs>
          <w:tab w:val="left" w:pos="2078"/>
          <w:tab w:val="left" w:pos="4156"/>
          <w:tab w:val="left" w:pos="6234"/>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甲</w:t>
      </w:r>
      <w:r>
        <w:rPr>
          <w:rFonts w:ascii="Times New Roman" w:eastAsia="Times New Roman" w:hAnsi="Times New Roman" w:cs="Times New Roman"/>
          <w:color w:val="000000"/>
          <w:sz w:val="21"/>
          <w:shd w:val="clear" w:color="auto" w:fill="auto"/>
          <w:vertAlign w:val="baseline"/>
        </w:rPr>
        <w:t>&gt;</w:t>
      </w:r>
      <w:r>
        <w:rPr>
          <w:rFonts w:ascii="宋体" w:eastAsia="宋体" w:hAnsi="宋体" w:cs="宋体"/>
          <w:color w:val="000000"/>
          <w:sz w:val="21"/>
          <w:shd w:val="clear" w:color="auto" w:fill="auto"/>
          <w:vertAlign w:val="baseline"/>
        </w:rPr>
        <w:t>乙</w:t>
      </w:r>
      <w:r>
        <w:rPr>
          <w:rFonts w:ascii="Times New Roman" w:eastAsia="Times New Roman" w:hAnsi="Times New Roman" w:cs="Times New Roman"/>
          <w:color w:val="000000"/>
          <w:sz w:val="21"/>
          <w:shd w:val="clear" w:color="auto" w:fill="auto"/>
          <w:vertAlign w:val="baseline"/>
        </w:rPr>
        <w:t>&gt;</w:t>
      </w:r>
      <w:r>
        <w:rPr>
          <w:rFonts w:ascii="宋体" w:eastAsia="宋体" w:hAnsi="宋体" w:cs="宋体"/>
          <w:color w:val="000000"/>
          <w:sz w:val="21"/>
          <w:shd w:val="clear" w:color="auto" w:fill="auto"/>
          <w:vertAlign w:val="baseline"/>
        </w:rPr>
        <w:t>丙</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甲</w:t>
      </w:r>
      <w:r>
        <w:rPr>
          <w:rFonts w:ascii="Times New Roman" w:eastAsia="Times New Roman" w:hAnsi="Times New Roman" w:cs="Times New Roman"/>
          <w:color w:val="000000"/>
          <w:sz w:val="21"/>
          <w:shd w:val="clear" w:color="auto" w:fill="auto"/>
          <w:vertAlign w:val="baseline"/>
        </w:rPr>
        <w:t>&gt;</w:t>
      </w:r>
      <w:r>
        <w:rPr>
          <w:rFonts w:ascii="宋体" w:eastAsia="宋体" w:hAnsi="宋体" w:cs="宋体"/>
          <w:color w:val="000000"/>
          <w:sz w:val="21"/>
          <w:shd w:val="clear" w:color="auto" w:fill="auto"/>
          <w:vertAlign w:val="baseline"/>
        </w:rPr>
        <w:t>丙</w:t>
      </w:r>
      <w:r>
        <w:rPr>
          <w:rFonts w:ascii="Times New Roman" w:eastAsia="Times New Roman" w:hAnsi="Times New Roman" w:cs="Times New Roman"/>
          <w:color w:val="000000"/>
          <w:sz w:val="21"/>
          <w:shd w:val="clear" w:color="auto" w:fill="auto"/>
          <w:vertAlign w:val="baseline"/>
        </w:rPr>
        <w:t>&gt;</w:t>
      </w:r>
      <w:r>
        <w:rPr>
          <w:rFonts w:ascii="宋体" w:eastAsia="宋体" w:hAnsi="宋体" w:cs="宋体"/>
          <w:color w:val="000000"/>
          <w:sz w:val="21"/>
          <w:shd w:val="clear" w:color="auto" w:fill="auto"/>
          <w:vertAlign w:val="baseline"/>
        </w:rPr>
        <w:t>乙</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乙</w:t>
      </w:r>
      <w:r>
        <w:rPr>
          <w:rFonts w:ascii="Times New Roman" w:eastAsia="Times New Roman" w:hAnsi="Times New Roman" w:cs="Times New Roman"/>
          <w:color w:val="000000"/>
          <w:sz w:val="21"/>
          <w:shd w:val="clear" w:color="auto" w:fill="auto"/>
          <w:vertAlign w:val="baseline"/>
        </w:rPr>
        <w:t>&gt;</w:t>
      </w:r>
      <w:r>
        <w:rPr>
          <w:rFonts w:ascii="宋体" w:eastAsia="宋体" w:hAnsi="宋体" w:cs="宋体"/>
          <w:color w:val="000000"/>
          <w:sz w:val="21"/>
          <w:shd w:val="clear" w:color="auto" w:fill="auto"/>
          <w:vertAlign w:val="baseline"/>
        </w:rPr>
        <w:t>甲</w:t>
      </w:r>
      <w:r>
        <w:rPr>
          <w:rFonts w:ascii="Times New Roman" w:eastAsia="Times New Roman" w:hAnsi="Times New Roman" w:cs="Times New Roman"/>
          <w:color w:val="000000"/>
          <w:sz w:val="21"/>
          <w:shd w:val="clear" w:color="auto" w:fill="auto"/>
          <w:vertAlign w:val="baseline"/>
        </w:rPr>
        <w:t>&gt;</w:t>
      </w:r>
      <w:r>
        <w:rPr>
          <w:rFonts w:ascii="宋体" w:eastAsia="宋体" w:hAnsi="宋体" w:cs="宋体"/>
          <w:color w:val="000000"/>
          <w:sz w:val="21"/>
          <w:shd w:val="clear" w:color="auto" w:fill="auto"/>
          <w:vertAlign w:val="baseline"/>
        </w:rPr>
        <w:t>丙</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丙</w:t>
      </w:r>
      <w:r>
        <w:rPr>
          <w:rFonts w:ascii="Times New Roman" w:eastAsia="Times New Roman" w:hAnsi="Times New Roman" w:cs="Times New Roman"/>
          <w:color w:val="000000"/>
          <w:sz w:val="21"/>
          <w:shd w:val="clear" w:color="auto" w:fill="auto"/>
          <w:vertAlign w:val="baseline"/>
        </w:rPr>
        <w:t>&gt;</w:t>
      </w:r>
      <w:r>
        <w:rPr>
          <w:rFonts w:ascii="宋体" w:eastAsia="宋体" w:hAnsi="宋体" w:cs="宋体"/>
          <w:color w:val="000000"/>
          <w:sz w:val="21"/>
          <w:shd w:val="clear" w:color="auto" w:fill="auto"/>
          <w:vertAlign w:val="baseline"/>
        </w:rPr>
        <w:t>乙</w:t>
      </w:r>
      <w:r>
        <w:rPr>
          <w:rFonts w:ascii="Times New Roman" w:eastAsia="Times New Roman" w:hAnsi="Times New Roman" w:cs="Times New Roman"/>
          <w:color w:val="000000"/>
          <w:sz w:val="21"/>
          <w:shd w:val="clear" w:color="auto" w:fill="auto"/>
          <w:vertAlign w:val="baseline"/>
        </w:rPr>
        <w:t>&gt;</w:t>
      </w:r>
      <w:r>
        <w:rPr>
          <w:rFonts w:ascii="宋体" w:eastAsia="宋体" w:hAnsi="宋体" w:cs="宋体"/>
          <w:color w:val="000000"/>
          <w:sz w:val="21"/>
          <w:shd w:val="clear" w:color="auto" w:fill="auto"/>
          <w:vertAlign w:val="baseline"/>
        </w:rPr>
        <w:t>甲</w:t>
      </w:r>
    </w:p>
    <w:p>
      <w:pPr>
        <w:pStyle w:val="Normal9b2f0a30-7e14-4157-a628-15ef70236d99"/>
        <w:tabs>
          <w:tab w:val="left" w:pos="2078"/>
          <w:tab w:val="left" w:pos="4156"/>
          <w:tab w:val="left" w:pos="6234"/>
        </w:tabs>
        <w:spacing w:line="320" w:lineRule="auto"/>
        <w:ind w:left="380"/>
        <w:jc w:val="left"/>
        <w:textAlignment w:val="center"/>
        <w:rPr>
          <w:sz w:val="21"/>
        </w:rPr>
      </w:pPr>
    </w:p>
    <w:p>
      <w:pPr>
        <w:pStyle w:val="Normal9b2f0a30-7e14-4157-a628-15ef70236d99"/>
        <w:numPr>
          <w:ilvl w:val="0"/>
          <w:numId w:val="0"/>
        </w:numPr>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大科伯克沙地是北极圈内典型的风沙活动区</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近</w:t>
      </w:r>
      <w:r>
        <w:rPr>
          <w:rFonts w:ascii="Times New Roman" w:eastAsia="Times New Roman" w:hAnsi="Times New Roman" w:cs="Times New Roman"/>
          <w:color w:val="000000"/>
          <w:sz w:val="21"/>
          <w:shd w:val="clear" w:color="auto" w:fill="auto"/>
          <w:vertAlign w:val="baseline"/>
        </w:rPr>
        <w:t>1</w:t>
      </w:r>
      <w:r>
        <w:rPr>
          <w:rFonts w:ascii="楷体" w:eastAsia="楷体" w:hAnsi="楷体" w:cs="楷体"/>
          <w:color w:val="000000"/>
          <w:sz w:val="21"/>
          <w:shd w:val="clear" w:color="auto" w:fill="auto"/>
          <w:vertAlign w:val="baseline"/>
        </w:rPr>
        <w:t>万年来</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随着气候变暖</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该沙地面积由约</w:t>
      </w:r>
      <w:r>
        <w:rPr>
          <w:rFonts w:ascii="Times New Roman" w:eastAsia="Times New Roman" w:hAnsi="Times New Roman" w:cs="Times New Roman"/>
          <w:color w:val="000000"/>
          <w:sz w:val="21"/>
          <w:shd w:val="clear" w:color="auto" w:fill="auto"/>
          <w:vertAlign w:val="baseline"/>
        </w:rPr>
        <w:t>650km</w:t>
      </w:r>
      <w:r>
        <w:rPr>
          <w:rFonts w:ascii="Times New Roman" w:eastAsia="Times New Roman" w:hAnsi="Times New Roman" w:cs="Times New Roman"/>
          <w:color w:val="000000"/>
          <w:sz w:val="21"/>
          <w:shd w:val="clear" w:color="auto" w:fill="auto"/>
          <w:vertAlign w:val="superscript"/>
        </w:rPr>
        <w:t>2</w:t>
      </w:r>
      <w:r>
        <w:rPr>
          <w:rFonts w:ascii="楷体" w:eastAsia="楷体" w:hAnsi="楷体" w:cs="楷体"/>
          <w:color w:val="000000"/>
          <w:sz w:val="21"/>
          <w:shd w:val="clear" w:color="auto" w:fill="auto"/>
          <w:vertAlign w:val="baseline"/>
        </w:rPr>
        <w:t>波动萎缩至</w:t>
      </w:r>
      <w:r>
        <w:rPr>
          <w:rFonts w:ascii="Times New Roman" w:eastAsia="Times New Roman" w:hAnsi="Times New Roman" w:cs="Times New Roman"/>
          <w:color w:val="000000"/>
          <w:sz w:val="21"/>
          <w:shd w:val="clear" w:color="auto" w:fill="auto"/>
          <w:vertAlign w:val="baseline"/>
        </w:rPr>
        <w:t>62km</w:t>
      </w:r>
      <w:r>
        <w:rPr>
          <w:rFonts w:ascii="Times New Roman" w:eastAsia="Times New Roman" w:hAnsi="Times New Roman" w:cs="Times New Roman"/>
          <w:color w:val="000000"/>
          <w:sz w:val="21"/>
          <w:shd w:val="clear" w:color="auto" w:fill="auto"/>
          <w:vertAlign w:val="superscript"/>
        </w:rPr>
        <w:t>2</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下图示意大科伯克沙地及周边区域</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甲地发育有新月形沙丘</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据此完成下面小题</w:t>
      </w:r>
      <w:r>
        <w:rPr>
          <w:rFonts w:ascii="楷体" w:eastAsia="楷体" w:hAnsi="楷体" w:cs="楷体"/>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486150" cy="1581150"/>
            <wp:effectExtent l="0" t="0" r="0" b="0"/>
            <wp:docPr id="5" name="_x0000_i102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_x0000_i1029" descr="@@@bff1ddcf-d555-4862-bbba-9f385f255c51"/>
                    <pic:cNvPicPr>
                      <a:picLocks noChangeAspect="1"/>
                    </pic:cNvPicPr>
                  </pic:nvPicPr>
                  <pic:blipFill>
                    <a:blip xmlns:r="http://schemas.openxmlformats.org/officeDocument/2006/relationships" r:embed="rId7"/>
                    <a:stretch>
                      <a:fillRect/>
                    </a:stretch>
                  </pic:blipFill>
                  <pic:spPr>
                    <a:xfrm>
                      <a:off x="0" y="0"/>
                      <a:ext cx="3486150" cy="1581150"/>
                    </a:xfrm>
                    <a:prstGeom prst="rect">
                      <a:avLst/>
                    </a:prstGeom>
                  </pic:spPr>
                </pic:pic>
              </a:graphicData>
            </a:graphic>
          </wp:inline>
        </w:drawing>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13．</w:t>
      </w:r>
      <w:r>
        <w:rPr>
          <w:rFonts w:ascii="宋体" w:eastAsia="宋体" w:hAnsi="宋体" w:cs="宋体"/>
          <w:color w:val="000000"/>
          <w:sz w:val="21"/>
          <w:shd w:val="clear" w:color="auto" w:fill="auto"/>
          <w:vertAlign w:val="baseline"/>
        </w:rPr>
        <w:t>根据甲地沙丘形态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推测当地的主导风向是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9b2f0a30-7e14-4157-a628-15ef70236d99"/>
        <w:tabs>
          <w:tab w:val="left" w:pos="2078"/>
          <w:tab w:val="left" w:pos="4156"/>
          <w:tab w:val="left" w:pos="6234"/>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偏东风</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偏西风</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偏南风</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偏北风</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14．</w:t>
      </w:r>
      <w:r>
        <w:rPr>
          <w:rFonts w:ascii="宋体" w:eastAsia="宋体" w:hAnsi="宋体" w:cs="宋体"/>
          <w:color w:val="000000"/>
          <w:sz w:val="21"/>
          <w:shd w:val="clear" w:color="auto" w:fill="auto"/>
          <w:vertAlign w:val="baseline"/>
        </w:rPr>
        <w:t>大科伯克沙地的沙源主要是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9b2f0a30-7e14-4157-a628-15ef70236d99"/>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现代风沙沉积物</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附近湖泊沉积物</w:t>
      </w:r>
    </w:p>
    <w:p>
      <w:pPr>
        <w:pStyle w:val="Normal9b2f0a30-7e14-4157-a628-15ef70236d99"/>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基岩风化残积物</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早期河流沉积物</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15．</w:t>
      </w:r>
      <w:r>
        <w:rPr>
          <w:rFonts w:ascii="宋体" w:eastAsia="宋体" w:hAnsi="宋体" w:cs="宋体"/>
          <w:color w:val="000000"/>
          <w:sz w:val="21"/>
          <w:shd w:val="clear" w:color="auto" w:fill="auto"/>
          <w:vertAlign w:val="baseline"/>
        </w:rPr>
        <w:t>造成大科伯克沙地萎缩的直接原因是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9b2f0a30-7e14-4157-a628-15ef70236d99"/>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风力侵蚀减弱</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针叶林扩张</w:t>
      </w:r>
    </w:p>
    <w:p>
      <w:pPr>
        <w:pStyle w:val="Normal9b2f0a30-7e14-4157-a628-15ef70236d99"/>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河流侵蚀加强</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降水量增多</w:t>
      </w:r>
    </w:p>
    <w:p>
      <w:pPr>
        <w:pStyle w:val="Normal9b2f0a30-7e14-4157-a628-15ef70236d99"/>
        <w:tabs>
          <w:tab w:val="left" w:pos="4156"/>
        </w:tabs>
        <w:spacing w:line="320" w:lineRule="auto"/>
        <w:ind w:left="380"/>
        <w:jc w:val="left"/>
        <w:textAlignment w:val="center"/>
        <w:rPr>
          <w:sz w:val="21"/>
        </w:rPr>
      </w:pPr>
    </w:p>
    <w:p>
      <w:pPr>
        <w:pStyle w:val="Normal9b2f0a30-7e14-4157-a628-15ef70236d99"/>
      </w:pPr>
    </w:p>
    <w:p>
      <w:pPr>
        <w:pStyle w:val="paraStyle"/>
        <w:spacing w:before="200" w:beforeAutospacing="0" w:after="200" w:afterAutospacing="0"/>
      </w:pPr>
      <w:r>
        <w:t>二、综合题</w:t>
      </w:r>
    </w:p>
    <w:p>
      <w:pPr>
        <w:pStyle w:val="Normal9b2f0a30-7e14-4157-a628-15ef70236d99"/>
        <w:numPr>
          <w:ilvl w:val="0"/>
          <w:numId w:val="0"/>
        </w:numPr>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16．</w:t>
      </w:r>
      <w:r>
        <w:rPr>
          <w:rFonts w:ascii="宋体" w:eastAsia="宋体" w:hAnsi="宋体" w:cs="宋体"/>
          <w:color w:val="000000"/>
          <w:sz w:val="21"/>
          <w:shd w:val="clear" w:color="auto" w:fill="auto"/>
          <w:vertAlign w:val="baseline"/>
        </w:rPr>
        <w:t>阅读图文材料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完成下列要求</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长岛又称庙岛群岛</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位于黄渤海交汇处</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由南北长山岛</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大小黑山岛等</w:t>
      </w:r>
      <w:r>
        <w:rPr>
          <w:rFonts w:ascii="Times New Roman" w:eastAsia="Times New Roman" w:hAnsi="Times New Roman" w:cs="Times New Roman"/>
          <w:color w:val="000000"/>
          <w:sz w:val="21"/>
          <w:shd w:val="clear" w:color="auto" w:fill="auto"/>
          <w:vertAlign w:val="baseline"/>
        </w:rPr>
        <w:t>151</w:t>
      </w:r>
      <w:r>
        <w:rPr>
          <w:rFonts w:ascii="楷体" w:eastAsia="楷体" w:hAnsi="楷体" w:cs="楷体"/>
          <w:color w:val="000000"/>
          <w:sz w:val="21"/>
          <w:shd w:val="clear" w:color="auto" w:fill="auto"/>
          <w:vertAlign w:val="baseline"/>
        </w:rPr>
        <w:t>个岛屿组成</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岛陆面积</w:t>
      </w:r>
      <w:r>
        <w:rPr>
          <w:rFonts w:ascii="Times New Roman" w:eastAsia="Times New Roman" w:hAnsi="Times New Roman" w:cs="Times New Roman"/>
          <w:color w:val="000000"/>
          <w:sz w:val="21"/>
          <w:shd w:val="clear" w:color="auto" w:fill="auto"/>
          <w:vertAlign w:val="baseline"/>
        </w:rPr>
        <w:t>59km</w:t>
      </w:r>
      <w:r>
        <w:rPr>
          <w:rFonts w:ascii="Times New Roman" w:eastAsia="Times New Roman" w:hAnsi="Times New Roman" w:cs="Times New Roman"/>
          <w:color w:val="000000"/>
          <w:sz w:val="21"/>
          <w:shd w:val="clear" w:color="auto" w:fill="auto"/>
          <w:vertAlign w:val="superscript"/>
        </w:rPr>
        <w:t>2</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长岛地处鸟类迁徙大通道</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森林覆盖率达</w:t>
      </w:r>
      <w:r>
        <w:rPr>
          <w:rFonts w:ascii="Times New Roman" w:eastAsia="Times New Roman" w:hAnsi="Times New Roman" w:cs="Times New Roman"/>
          <w:color w:val="000000"/>
          <w:sz w:val="21"/>
          <w:shd w:val="clear" w:color="auto" w:fill="auto"/>
          <w:vertAlign w:val="baseline"/>
        </w:rPr>
        <w:t>60%</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生态渔业和生态旅游是其主导产业</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2021</w:t>
      </w:r>
      <w:r>
        <w:rPr>
          <w:rFonts w:ascii="楷体" w:eastAsia="楷体" w:hAnsi="楷体" w:cs="楷体"/>
          <w:color w:val="000000"/>
          <w:sz w:val="21"/>
          <w:shd w:val="clear" w:color="auto" w:fill="auto"/>
          <w:vertAlign w:val="baseline"/>
        </w:rPr>
        <w:t>年</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山东省烟台市率先提出打造</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长岛国际零碳岛</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近年来</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长岛在</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蓝色粮仓</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建设</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绿能开发</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低碳旅游项目开发等方面</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取得了诸多成就</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建设国际零碳岛</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将使长岛成为我国输出低碳发展成果</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推广应用零碳技术的</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示范窗口</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下图示意长岛位置及其增加碳汇</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减少碳排的途径</w:t>
      </w:r>
      <w:r>
        <w:rPr>
          <w:rFonts w:ascii="楷体" w:eastAsia="楷体" w:hAnsi="楷体" w:cs="楷体"/>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581275" cy="2705100"/>
            <wp:effectExtent l="0" t="0" r="9525" b="0"/>
            <wp:docPr id="6" name="_x0000_i103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_x0000_i1030" descr="@@@94c951961e7d40f3b7fdc4da6f136287"/>
                    <pic:cNvPicPr>
                      <a:picLocks noChangeAspect="1"/>
                    </pic:cNvPicPr>
                  </pic:nvPicPr>
                  <pic:blipFill>
                    <a:blip xmlns:r="http://schemas.openxmlformats.org/officeDocument/2006/relationships" r:embed="rId8"/>
                    <a:stretch>
                      <a:fillRect/>
                    </a:stretch>
                  </pic:blipFill>
                  <pic:spPr>
                    <a:xfrm>
                      <a:off x="0" y="0"/>
                      <a:ext cx="2581275" cy="2705100"/>
                    </a:xfrm>
                    <a:prstGeom prst="rect">
                      <a:avLst/>
                    </a:prstGeom>
                  </pic:spPr>
                </pic:pic>
              </a:graphicData>
            </a:graphic>
          </wp:inline>
        </w:drawing>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简析长岛建设国际零碳岛的有利条件</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从碳汇和碳排方面</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说明长岛建设国际零碳岛的主要途径</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简述长岛着力打造国际零碳岛对全球类似海岛可持续发展的示范意义</w:t>
      </w:r>
      <w:r>
        <w:rPr>
          <w:rFonts w:ascii="Times New Roman" w:eastAsia="Times New Roman" w:hAnsi="Times New Roman" w:cs="Times New Roman"/>
          <w:color w:val="000000"/>
          <w:sz w:val="21"/>
          <w:shd w:val="clear" w:color="auto" w:fill="auto"/>
          <w:vertAlign w:val="baseline"/>
        </w:rPr>
        <w:t>。</w:t>
      </w:r>
    </w:p>
    <w:p>
      <w:pPr>
        <w:pStyle w:val="Normal9b2f0a30-7e14-4157-a628-15ef70236d99"/>
        <w:numPr>
          <w:ilvl w:val="0"/>
          <w:numId w:val="0"/>
        </w:numPr>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17．</w:t>
      </w:r>
      <w:r>
        <w:rPr>
          <w:rFonts w:ascii="宋体" w:eastAsia="宋体" w:hAnsi="宋体" w:cs="宋体"/>
          <w:color w:val="000000"/>
          <w:sz w:val="21"/>
          <w:shd w:val="clear" w:color="auto" w:fill="auto"/>
          <w:vertAlign w:val="baseline"/>
        </w:rPr>
        <w:t>阅读图文材料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完成下列要求</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帕里索夫湖位于波德平原</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是末次间冰期</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距今约</w:t>
      </w:r>
      <w:r>
        <w:rPr>
          <w:rFonts w:ascii="Times New Roman" w:eastAsia="Times New Roman" w:hAnsi="Times New Roman" w:cs="Times New Roman"/>
          <w:color w:val="000000"/>
          <w:sz w:val="21"/>
          <w:shd w:val="clear" w:color="auto" w:fill="auto"/>
          <w:vertAlign w:val="baseline"/>
        </w:rPr>
        <w:t>13</w:t>
      </w:r>
      <w:r>
        <w:rPr>
          <w:rFonts w:ascii="楷体" w:eastAsia="楷体" w:hAnsi="楷体" w:cs="楷体"/>
          <w:color w:val="000000"/>
          <w:sz w:val="21"/>
          <w:shd w:val="clear" w:color="auto" w:fill="auto"/>
          <w:vertAlign w:val="baseline"/>
        </w:rPr>
        <w:t>万</w:t>
      </w:r>
      <w:r>
        <w:rPr>
          <w:rFonts w:ascii="Times New Roman" w:eastAsia="Times New Roman" w:hAnsi="Times New Roman" w:cs="Times New Roman"/>
          <w:color w:val="000000"/>
          <w:sz w:val="21"/>
          <w:shd w:val="clear" w:color="auto" w:fill="auto"/>
          <w:vertAlign w:val="baseline"/>
        </w:rPr>
        <w:t>~11.5</w:t>
      </w:r>
      <w:r>
        <w:rPr>
          <w:rFonts w:ascii="楷体" w:eastAsia="楷体" w:hAnsi="楷体" w:cs="楷体"/>
          <w:color w:val="000000"/>
          <w:sz w:val="21"/>
          <w:shd w:val="clear" w:color="auto" w:fill="auto"/>
          <w:vertAlign w:val="baseline"/>
        </w:rPr>
        <w:t>万年</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古湖泊</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该湖泊发育于大陆冰盖消退后的孤立冰碛高地上</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其周边冰碛物孔隙大</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且早期冰碛物内部夹杂残冰</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研究表明</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该湖演化过程中曾因干旱发生过干涸</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但其周边湖泊未发生此现象</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下图示意帕里索夫湖末次间冰期演化过程</w:t>
      </w:r>
      <w:r>
        <w:rPr>
          <w:rFonts w:ascii="楷体" w:eastAsia="楷体" w:hAnsi="楷体" w:cs="楷体"/>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905125" cy="2809875"/>
            <wp:effectExtent l="0" t="0" r="9525" b="9525"/>
            <wp:docPr id="7" name="_x0000_i103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_x0000_i1031" descr="@@@1a68c226b61e46b9bc763b81b54f9405"/>
                    <pic:cNvPicPr>
                      <a:picLocks noChangeAspect="1"/>
                    </pic:cNvPicPr>
                  </pic:nvPicPr>
                  <pic:blipFill>
                    <a:blip xmlns:r="http://schemas.openxmlformats.org/officeDocument/2006/relationships" r:embed="rId9"/>
                    <a:stretch>
                      <a:fillRect/>
                    </a:stretch>
                  </pic:blipFill>
                  <pic:spPr>
                    <a:xfrm>
                      <a:off x="0" y="0"/>
                      <a:ext cx="2905125" cy="2809875"/>
                    </a:xfrm>
                    <a:prstGeom prst="rect">
                      <a:avLst/>
                    </a:prstGeom>
                  </pic:spPr>
                </pic:pic>
              </a:graphicData>
            </a:graphic>
          </wp:inline>
        </w:drawing>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据图描述植被演替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并由此推断该湖所在区域末次间冰期气候变化规律</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说明该湖的成因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并分析湖泊沉积物的形成过程</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从地形和地下水的角度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分析该湖演化过程中曾发生干涸的原因</w:t>
      </w:r>
      <w:r>
        <w:rPr>
          <w:rFonts w:ascii="Times New Roman" w:eastAsia="Times New Roman" w:hAnsi="Times New Roman" w:cs="Times New Roman"/>
          <w:color w:val="000000"/>
          <w:sz w:val="21"/>
          <w:shd w:val="clear" w:color="auto" w:fill="auto"/>
          <w:vertAlign w:val="baseline"/>
        </w:rPr>
        <w:t>。</w:t>
      </w:r>
    </w:p>
    <w:p>
      <w:pPr>
        <w:pStyle w:val="Normal9b2f0a30-7e14-4157-a628-15ef70236d99"/>
        <w:numPr>
          <w:ilvl w:val="0"/>
          <w:numId w:val="0"/>
        </w:numPr>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18．</w:t>
      </w:r>
      <w:r>
        <w:rPr>
          <w:rFonts w:ascii="宋体" w:eastAsia="宋体" w:hAnsi="宋体" w:cs="宋体"/>
          <w:color w:val="000000"/>
          <w:sz w:val="21"/>
          <w:shd w:val="clear" w:color="auto" w:fill="auto"/>
          <w:vertAlign w:val="baseline"/>
        </w:rPr>
        <w:t>阅读图文材料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完成下列要求</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构建以社区养老服务设施为中心</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15</w:t>
      </w:r>
      <w:r>
        <w:rPr>
          <w:rFonts w:ascii="楷体" w:eastAsia="楷体" w:hAnsi="楷体" w:cs="楷体"/>
          <w:color w:val="000000"/>
          <w:sz w:val="21"/>
          <w:shd w:val="clear" w:color="auto" w:fill="auto"/>
          <w:vertAlign w:val="baseline"/>
        </w:rPr>
        <w:t>分钟步行距离为服务半径的</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养老服务圈</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对推动社区养老具有重要意义</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为了解社区养老服务驿站区位状况并为优化驿站布局提供参考</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某地理研学小组选取所在城市中心区老旧社区进行调查</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在地理信息技术支持下得到养老服务圈边界</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并将部分调查结果汇总</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下图</w:t>
      </w:r>
      <w:r>
        <w:rPr>
          <w:rFonts w:ascii="楷体" w:eastAsia="楷体" w:hAnsi="楷体" w:cs="楷体"/>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619625" cy="2352675"/>
            <wp:effectExtent l="0" t="0" r="9525" b="9525"/>
            <wp:docPr id="8" name="_x0000_i103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_x0000_i1032" descr="@@@80061a51b75048c78606493aa0c1b408"/>
                    <pic:cNvPicPr>
                      <a:picLocks noChangeAspect="1"/>
                    </pic:cNvPicPr>
                  </pic:nvPicPr>
                  <pic:blipFill>
                    <a:blip xmlns:r="http://schemas.openxmlformats.org/officeDocument/2006/relationships" r:embed="rId10"/>
                    <a:stretch>
                      <a:fillRect/>
                    </a:stretch>
                  </pic:blipFill>
                  <pic:spPr>
                    <a:xfrm>
                      <a:off x="0" y="0"/>
                      <a:ext cx="4619625" cy="2352675"/>
                    </a:xfrm>
                    <a:prstGeom prst="rect">
                      <a:avLst/>
                    </a:prstGeom>
                  </pic:spPr>
                </pic:pic>
              </a:graphicData>
            </a:graphic>
          </wp:inline>
        </w:drawing>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针对调查目的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写出该小组需要调查的内容</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结合该区域社区养老服务驿站布局现状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提出优化建议</w:t>
      </w:r>
      <w:r>
        <w:rPr>
          <w:rFonts w:ascii="Times New Roman" w:eastAsia="Times New Roman" w:hAnsi="Times New Roman" w:cs="Times New Roman"/>
          <w:color w:val="000000"/>
          <w:sz w:val="21"/>
          <w:shd w:val="clear" w:color="auto" w:fill="auto"/>
          <w:vertAlign w:val="baseline"/>
        </w:rPr>
        <w:t>。</w:t>
      </w:r>
    </w:p>
    <w:p>
      <w:pPr>
        <w:pStyle w:val="Normal9b2f0a30-7e14-4157-a628-15ef70236d99"/>
        <w:numPr>
          <w:ilvl w:val="0"/>
          <w:numId w:val="0"/>
        </w:numPr>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19．</w:t>
      </w:r>
      <w:r>
        <w:rPr>
          <w:rFonts w:ascii="宋体" w:eastAsia="宋体" w:hAnsi="宋体" w:cs="宋体"/>
          <w:color w:val="000000"/>
          <w:sz w:val="21"/>
          <w:shd w:val="clear" w:color="auto" w:fill="auto"/>
          <w:vertAlign w:val="baseline"/>
        </w:rPr>
        <w:t>阅读图文材料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完成下列要求</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材料一</w:t>
      </w:r>
      <w:r>
        <w:rPr>
          <w:rFonts w:ascii="Times New Roman" w:eastAsia="Times New Roman" w:hAnsi="Times New Roman" w:cs="Times New Roman"/>
          <w:color w:val="000000"/>
          <w:sz w:val="21"/>
          <w:shd w:val="clear" w:color="auto" w:fill="auto"/>
          <w:vertAlign w:val="baseline"/>
        </w:rPr>
        <w:t>  </w:t>
      </w:r>
      <w:r>
        <w:rPr>
          <w:rFonts w:ascii="楷体" w:eastAsia="楷体" w:hAnsi="楷体" w:cs="楷体"/>
          <w:color w:val="000000"/>
          <w:sz w:val="21"/>
          <w:shd w:val="clear" w:color="auto" w:fill="auto"/>
          <w:vertAlign w:val="baseline"/>
        </w:rPr>
        <w:t>习近平总书记视察秦岭时指出</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秦岭和合南北</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泽被天下</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是我国的中央水塔</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是中华民族的祖脉和中华文化的重要象征</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材料二</w:t>
      </w:r>
      <w:r>
        <w:rPr>
          <w:rFonts w:ascii="Times New Roman" w:eastAsia="Times New Roman" w:hAnsi="Times New Roman" w:cs="Times New Roman"/>
          <w:color w:val="000000"/>
          <w:sz w:val="21"/>
          <w:shd w:val="clear" w:color="auto" w:fill="auto"/>
          <w:vertAlign w:val="baseline"/>
        </w:rPr>
        <w:t>  </w:t>
      </w:r>
      <w:r>
        <w:rPr>
          <w:rFonts w:ascii="楷体" w:eastAsia="楷体" w:hAnsi="楷体" w:cs="楷体"/>
          <w:color w:val="000000"/>
          <w:sz w:val="21"/>
          <w:shd w:val="clear" w:color="auto" w:fill="auto"/>
          <w:vertAlign w:val="baseline"/>
        </w:rPr>
        <w:t>秦岭横亘东西</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是划分南北方的</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分界线</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也是连接南北方的</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过渡带</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秦岭涵养水源</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滋养中华大地</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秦岭中的谷地</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低缓山口成为南北方物质</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能量联系的通道</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古时的栈道和现今的桥隧</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促进南北方物资和人员的交流</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材料三</w:t>
      </w:r>
      <w:r>
        <w:rPr>
          <w:rFonts w:ascii="Times New Roman" w:eastAsia="Times New Roman" w:hAnsi="Times New Roman" w:cs="Times New Roman"/>
          <w:color w:val="000000"/>
          <w:sz w:val="21"/>
          <w:shd w:val="clear" w:color="auto" w:fill="auto"/>
          <w:vertAlign w:val="baseline"/>
        </w:rPr>
        <w:t>  </w:t>
      </w:r>
      <w:r>
        <w:rPr>
          <w:rFonts w:ascii="楷体" w:eastAsia="楷体" w:hAnsi="楷体" w:cs="楷体"/>
          <w:color w:val="000000"/>
          <w:sz w:val="21"/>
          <w:shd w:val="clear" w:color="auto" w:fill="auto"/>
          <w:vertAlign w:val="baseline"/>
        </w:rPr>
        <w:t>秦岭沿</w:t>
      </w:r>
      <w:r>
        <w:rPr>
          <w:rFonts w:ascii="Times New Roman" w:eastAsia="Times New Roman" w:hAnsi="Times New Roman" w:cs="Times New Roman"/>
          <w:color w:val="000000"/>
          <w:sz w:val="21"/>
          <w:shd w:val="clear" w:color="auto" w:fill="auto"/>
          <w:vertAlign w:val="baseline"/>
        </w:rPr>
        <w:t>107.8</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E</w:t>
      </w:r>
      <w:r>
        <w:rPr>
          <w:rFonts w:ascii="楷体" w:eastAsia="楷体" w:hAnsi="楷体" w:cs="楷体"/>
          <w:color w:val="000000"/>
          <w:sz w:val="21"/>
          <w:shd w:val="clear" w:color="auto" w:fill="auto"/>
          <w:vertAlign w:val="baseline"/>
        </w:rPr>
        <w:t>剖面示意</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图</w:t>
      </w:r>
      <w:r>
        <w:rPr>
          <w:rFonts w:ascii="楷体" w:eastAsia="楷体" w:hAnsi="楷体" w:cs="楷体"/>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571875" cy="1485900"/>
            <wp:effectExtent l="0" t="0" r="9525" b="0"/>
            <wp:docPr id="9" name="_x0000_i103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_x0000_i1033" descr="@@@a75ca5ee-42b9-489e-822e-d141ff37ceb0"/>
                    <pic:cNvPicPr>
                      <a:picLocks noChangeAspect="1"/>
                    </pic:cNvPicPr>
                  </pic:nvPicPr>
                  <pic:blipFill>
                    <a:blip xmlns:r="http://schemas.openxmlformats.org/officeDocument/2006/relationships" r:embed="rId11"/>
                    <a:stretch>
                      <a:fillRect/>
                    </a:stretch>
                  </pic:blipFill>
                  <pic:spPr>
                    <a:xfrm>
                      <a:off x="0" y="0"/>
                      <a:ext cx="3571875" cy="1485900"/>
                    </a:xfrm>
                    <a:prstGeom prst="rect">
                      <a:avLst/>
                    </a:prstGeom>
                  </pic:spPr>
                </pic:pic>
              </a:graphicData>
            </a:graphic>
          </wp:inline>
        </w:drawing>
      </w:r>
    </w:p>
    <w:p>
      <w:pPr>
        <w:pStyle w:val="Normal9b2f0a30-7e14-4157-a628-15ef70236d99"/>
        <w:spacing w:line="320" w:lineRule="auto"/>
        <w:jc w:val="left"/>
        <w:textAlignment w:val="center"/>
        <w:rPr>
          <w:sz w:val="21"/>
        </w:rPr>
      </w:pPr>
      <w:r>
        <w:rPr>
          <w:rFonts w:ascii="宋体" w:eastAsia="宋体" w:hAnsi="宋体" w:cs="宋体"/>
          <w:color w:val="000000"/>
          <w:sz w:val="21"/>
          <w:shd w:val="clear" w:color="auto" w:fill="auto"/>
          <w:vertAlign w:val="baseline"/>
        </w:rPr>
        <w:t>结合所学知识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分界线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过渡带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和合南北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的思路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阐述你对秦岭地理意义的理解</w:t>
      </w:r>
      <w:r>
        <w:rPr>
          <w:rFonts w:ascii="Times New Roman" w:eastAsia="Times New Roman" w:hAnsi="Times New Roman" w:cs="Times New Roman"/>
          <w:color w:val="000000"/>
          <w:sz w:val="21"/>
          <w:shd w:val="clear" w:color="auto" w:fill="auto"/>
          <w:vertAlign w:val="baseline"/>
        </w:rPr>
        <w:t>。</w:t>
      </w:r>
    </w:p>
    <w:p>
      <w:pPr>
        <w:pStyle w:val="subTitleStyleb92438a1-f81a-4664-b222-1a3d42cdf1c8"/>
        <w:spacing w:before="600" w:after="600" w:afterAutospacing="0"/>
        <w:jc w:val="center"/>
      </w:pPr>
      <w:r>
        <w:br w:type="page"/>
      </w:r>
      <w:r>
        <w:t>参考答案</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1．</w:t>
      </w:r>
      <w:r>
        <w:rPr>
          <w:rFonts w:ascii="Times New Roman" w:eastAsia="Times New Roman" w:hAnsi="Times New Roman" w:cs="Times New Roman"/>
          <w:color w:val="000000"/>
          <w:sz w:val="21"/>
          <w:shd w:val="clear" w:color="auto" w:fill="auto"/>
          <w:vertAlign w:val="baseline"/>
        </w:rPr>
        <w:t xml:space="preserve">C    </w:t>
      </w:r>
      <w:r>
        <w:rPr>
          <w:rFonts w:ascii="Times New Roman" w:eastAsia="Times New Roman" w:hAnsi="Times New Roman" w:cs="Times New Roman"/>
          <w:color w:val="000000"/>
          <w:sz w:val="21"/>
          <w:shd w:val="clear" w:color="auto" w:fill="auto"/>
          <w:vertAlign w:val="baseline"/>
        </w:rPr>
        <w:t>2．</w:t>
      </w:r>
      <w:r>
        <w:rPr>
          <w:rFonts w:ascii="Times New Roman" w:eastAsia="Times New Roman" w:hAnsi="Times New Roman" w:cs="Times New Roman"/>
          <w:color w:val="000000"/>
          <w:sz w:val="21"/>
          <w:shd w:val="clear" w:color="auto" w:fill="auto"/>
          <w:vertAlign w:val="baseline"/>
        </w:rPr>
        <w:t xml:space="preserve">B    </w:t>
      </w:r>
      <w:r>
        <w:rPr>
          <w:rFonts w:ascii="Times New Roman" w:eastAsia="Times New Roman" w:hAnsi="Times New Roman" w:cs="Times New Roman"/>
          <w:color w:val="000000"/>
          <w:sz w:val="21"/>
          <w:shd w:val="clear" w:color="auto" w:fill="auto"/>
          <w:vertAlign w:val="baseline"/>
        </w:rPr>
        <w:t>3．</w:t>
      </w:r>
      <w:r>
        <w:rPr>
          <w:rFonts w:ascii="Times New Roman" w:eastAsia="Times New Roman" w:hAnsi="Times New Roman" w:cs="Times New Roman"/>
          <w:color w:val="000000"/>
          <w:sz w:val="21"/>
          <w:shd w:val="clear" w:color="auto" w:fill="auto"/>
          <w:vertAlign w:val="baseline"/>
        </w:rPr>
        <w:t>D</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材料强调</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通过培育和引种</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保山咖啡实现转变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这表明更新改良品种是从源头提升咖啡品质的核心举措</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直接决定咖啡品种特性与品质基础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所以</w:t>
      </w:r>
      <w:r>
        <w:rPr>
          <w:rFonts w:ascii="Times New Roman" w:eastAsia="Times New Roman" w:hAnsi="Times New Roman" w:cs="Times New Roman"/>
          <w:color w:val="000000"/>
          <w:sz w:val="21"/>
          <w:shd w:val="clear" w:color="auto" w:fill="auto"/>
          <w:vertAlign w:val="baseline"/>
        </w:rPr>
        <w:t xml:space="preserve"> C </w:t>
      </w:r>
      <w:r>
        <w:rPr>
          <w:rFonts w:ascii="宋体" w:eastAsia="宋体" w:hAnsi="宋体" w:cs="宋体"/>
          <w:color w:val="000000"/>
          <w:sz w:val="21"/>
          <w:shd w:val="clear" w:color="auto" w:fill="auto"/>
          <w:vertAlign w:val="baseline"/>
        </w:rPr>
        <w:t>选项正确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而提高农户技能只能辅助提升种植管理水平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无法从根本上改变咖啡品种内在品质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不是品质提升的关键</w:t>
      </w: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减少化肥施用对品质有影响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但并非材料强调的重点</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选项错误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改善土壤环境属于基础性工作</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并非材料提及的主要措施</w:t>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精品咖啡工业园围绕咖啡产业发展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仓储物流作为咖啡产业供应链的基础环节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能保障原料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成品的运输与存储</w:t>
      </w:r>
      <w:r>
        <w:rPr>
          <w:rFonts w:ascii="Times New Roman" w:eastAsia="Times New Roman" w:hAnsi="Times New Roman" w:cs="Times New Roman"/>
          <w:color w:val="000000"/>
          <w:sz w:val="21"/>
          <w:shd w:val="clear" w:color="auto" w:fill="auto"/>
          <w:vertAlign w:val="baseline"/>
        </w:rPr>
        <w:t>，①</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文化旅游虽与</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文旅融合销售</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相关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但并非工业园内主要聚集的产业类型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其核心是咖啡生产加工流通</w:t>
      </w:r>
      <w:r>
        <w:rPr>
          <w:rFonts w:ascii="Times New Roman" w:eastAsia="Times New Roman" w:hAnsi="Times New Roman" w:cs="Times New Roman"/>
          <w:color w:val="000000"/>
          <w:sz w:val="21"/>
          <w:shd w:val="clear" w:color="auto" w:fill="auto"/>
          <w:vertAlign w:val="baseline"/>
        </w:rPr>
        <w:t>，②</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精深加工可提升产品附加值</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延伸产业链</w:t>
      </w:r>
      <w:r>
        <w:rPr>
          <w:rFonts w:ascii="Times New Roman" w:eastAsia="Times New Roman" w:hAnsi="Times New Roman" w:cs="Times New Roman"/>
          <w:color w:val="000000"/>
          <w:sz w:val="21"/>
          <w:shd w:val="clear" w:color="auto" w:fill="auto"/>
          <w:vertAlign w:val="baseline"/>
        </w:rPr>
        <w:t>，③</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金融服务与咖啡生产加工环节关联弱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不是支撑工业园运作的核心产业</w:t>
      </w:r>
      <w:r>
        <w:rPr>
          <w:rFonts w:ascii="Times New Roman" w:eastAsia="Times New Roman" w:hAnsi="Times New Roman" w:cs="Times New Roman"/>
          <w:color w:val="000000"/>
          <w:sz w:val="21"/>
          <w:shd w:val="clear" w:color="auto" w:fill="auto"/>
          <w:vertAlign w:val="baseline"/>
        </w:rPr>
        <w:t>，④</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因此</w:t>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，ACD</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材料显示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当地通过培育引种优化品种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建设精品咖啡工业园提升加工水平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文旅融合拓展销售等一系列措施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整体提升了保山咖啡的品牌价值</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促使其从低价原料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论吨卖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转变为高附加值的品牌产品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论杯卖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由此可见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品牌价值提升是实现转变的核心驱动力</w:t>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材料未着重体现种植方式改进对此次转变的影响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转变更侧重于产业链升级与品牌打造</w:t>
      </w: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市场需求增加是转变后的结果体现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而非主要原因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是品牌价值提升吸引了市场需求</w:t>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营销模式多样</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如文旅融合销售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是提升品牌价值的手段之一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并非转变的根本原因</w:t>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4．</w:t>
      </w:r>
      <w:r>
        <w:rPr>
          <w:rFonts w:ascii="Times New Roman" w:eastAsia="Times New Roman" w:hAnsi="Times New Roman" w:cs="Times New Roman"/>
          <w:color w:val="000000"/>
          <w:sz w:val="21"/>
          <w:shd w:val="clear" w:color="auto" w:fill="auto"/>
          <w:vertAlign w:val="baseline"/>
        </w:rPr>
        <w:t xml:space="preserve">B    </w:t>
      </w:r>
      <w:r>
        <w:rPr>
          <w:rFonts w:ascii="Times New Roman" w:eastAsia="Times New Roman" w:hAnsi="Times New Roman" w:cs="Times New Roman"/>
          <w:color w:val="000000"/>
          <w:sz w:val="21"/>
          <w:shd w:val="clear" w:color="auto" w:fill="auto"/>
          <w:vertAlign w:val="baseline"/>
        </w:rPr>
        <w:t>5．</w:t>
      </w:r>
      <w:r>
        <w:rPr>
          <w:rFonts w:ascii="Times New Roman" w:eastAsia="Times New Roman" w:hAnsi="Times New Roman" w:cs="Times New Roman"/>
          <w:color w:val="000000"/>
          <w:sz w:val="21"/>
          <w:shd w:val="clear" w:color="auto" w:fill="auto"/>
          <w:vertAlign w:val="baseline"/>
        </w:rPr>
        <w:t>A</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】4．</w:t>
      </w:r>
      <w:r>
        <w:rPr>
          <w:rFonts w:ascii="宋体" w:eastAsia="宋体" w:hAnsi="宋体" w:cs="宋体"/>
          <w:color w:val="000000"/>
          <w:sz w:val="21"/>
          <w:shd w:val="clear" w:color="auto" w:fill="auto"/>
          <w:vertAlign w:val="baseline"/>
        </w:rPr>
        <w:t>通过对比</w:t>
      </w:r>
      <w:r>
        <w:rPr>
          <w:rFonts w:ascii="Times New Roman" w:eastAsia="Times New Roman" w:hAnsi="Times New Roman" w:cs="Times New Roman"/>
          <w:color w:val="000000"/>
          <w:sz w:val="21"/>
          <w:shd w:val="clear" w:color="auto" w:fill="auto"/>
          <w:vertAlign w:val="baseline"/>
        </w:rPr>
        <w:t xml:space="preserve"> 2001 </w:t>
      </w:r>
      <w:r>
        <w:rPr>
          <w:rFonts w:ascii="宋体" w:eastAsia="宋体" w:hAnsi="宋体" w:cs="宋体"/>
          <w:color w:val="000000"/>
          <w:sz w:val="21"/>
          <w:shd w:val="clear" w:color="auto" w:fill="auto"/>
          <w:vertAlign w:val="baseline"/>
        </w:rPr>
        <w:t>年和</w:t>
      </w:r>
      <w:r>
        <w:rPr>
          <w:rFonts w:ascii="Times New Roman" w:eastAsia="Times New Roman" w:hAnsi="Times New Roman" w:cs="Times New Roman"/>
          <w:color w:val="000000"/>
          <w:sz w:val="21"/>
          <w:shd w:val="clear" w:color="auto" w:fill="auto"/>
          <w:vertAlign w:val="baseline"/>
        </w:rPr>
        <w:t xml:space="preserve"> 2019 </w:t>
      </w:r>
      <w:r>
        <w:rPr>
          <w:rFonts w:ascii="宋体" w:eastAsia="宋体" w:hAnsi="宋体" w:cs="宋体"/>
          <w:color w:val="000000"/>
          <w:sz w:val="21"/>
          <w:shd w:val="clear" w:color="auto" w:fill="auto"/>
          <w:vertAlign w:val="baseline"/>
        </w:rPr>
        <w:t>年贸易网络结构图可知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北美与南美之间的线条无明显变粗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说明二者贸易联系未增强</w:t>
      </w: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东亚和南欧作为主要半导体产业聚集区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其节点增大且连线加粗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直观反映出贸易联系显著增强</w:t>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北美与中欧之间的线条未变粗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表明贸易联系无明显变化</w:t>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东亚与南亚间线条同样未变粗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意味着贸易联系未增强</w:t>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5．</w:t>
      </w:r>
      <w:r>
        <w:rPr>
          <w:rFonts w:ascii="宋体" w:eastAsia="宋体" w:hAnsi="宋体" w:cs="宋体"/>
          <w:color w:val="000000"/>
          <w:sz w:val="21"/>
          <w:shd w:val="clear" w:color="auto" w:fill="auto"/>
          <w:vertAlign w:val="baseline"/>
        </w:rPr>
        <w:t>为保障我国硅材料产业贸易安全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加快技术创新能够提升产业竞争力与自主性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降低对外依赖程度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拓宽国际合作则有助于构建多元贸易渠道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增强贸易稳定性</w:t>
      </w:r>
      <w:r>
        <w:rPr>
          <w:rFonts w:ascii="Times New Roman" w:eastAsia="Times New Roman" w:hAnsi="Times New Roman" w:cs="Times New Roman"/>
          <w:color w:val="000000"/>
          <w:sz w:val="21"/>
          <w:shd w:val="clear" w:color="auto" w:fill="auto"/>
          <w:vertAlign w:val="baseline"/>
        </w:rPr>
        <w:t>，①②</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而加强就业培训主要作用是提升劳动力素质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与贸易安全没有直接关联</w:t>
      </w:r>
      <w:r>
        <w:rPr>
          <w:rFonts w:ascii="Times New Roman" w:eastAsia="Times New Roman" w:hAnsi="Times New Roman" w:cs="Times New Roman"/>
          <w:color w:val="000000"/>
          <w:sz w:val="21"/>
          <w:shd w:val="clear" w:color="auto" w:fill="auto"/>
          <w:vertAlign w:val="baseline"/>
        </w:rPr>
        <w:t>，③</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单纯扩大生产规模若依赖外部技术和市场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不仅无法保障贸易安全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还可能加剧产业风险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未触及核心技术和贸易渠道问题</w:t>
      </w:r>
      <w:r>
        <w:rPr>
          <w:rFonts w:ascii="Times New Roman" w:eastAsia="Times New Roman" w:hAnsi="Times New Roman" w:cs="Times New Roman"/>
          <w:color w:val="000000"/>
          <w:sz w:val="21"/>
          <w:shd w:val="clear" w:color="auto" w:fill="auto"/>
          <w:vertAlign w:val="baseline"/>
        </w:rPr>
        <w:t>，④</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因此</w:t>
      </w: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，BCD</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6．</w:t>
      </w:r>
      <w:r>
        <w:rPr>
          <w:rFonts w:ascii="Times New Roman" w:eastAsia="Times New Roman" w:hAnsi="Times New Roman" w:cs="Times New Roman"/>
          <w:color w:val="000000"/>
          <w:sz w:val="21"/>
          <w:shd w:val="clear" w:color="auto" w:fill="auto"/>
          <w:vertAlign w:val="baseline"/>
        </w:rPr>
        <w:t xml:space="preserve">C    </w:t>
      </w:r>
      <w:r>
        <w:rPr>
          <w:rFonts w:ascii="Times New Roman" w:eastAsia="Times New Roman" w:hAnsi="Times New Roman" w:cs="Times New Roman"/>
          <w:color w:val="000000"/>
          <w:sz w:val="21"/>
          <w:shd w:val="clear" w:color="auto" w:fill="auto"/>
          <w:vertAlign w:val="baseline"/>
        </w:rPr>
        <w:t>7．</w:t>
      </w:r>
      <w:r>
        <w:rPr>
          <w:rFonts w:ascii="Times New Roman" w:eastAsia="Times New Roman" w:hAnsi="Times New Roman" w:cs="Times New Roman"/>
          <w:color w:val="000000"/>
          <w:sz w:val="21"/>
          <w:shd w:val="clear" w:color="auto" w:fill="auto"/>
          <w:vertAlign w:val="baseline"/>
        </w:rPr>
        <w:t xml:space="preserve">A    </w:t>
      </w:r>
      <w:r>
        <w:rPr>
          <w:rFonts w:ascii="Times New Roman" w:eastAsia="Times New Roman" w:hAnsi="Times New Roman" w:cs="Times New Roman"/>
          <w:color w:val="000000"/>
          <w:sz w:val="21"/>
          <w:shd w:val="clear" w:color="auto" w:fill="auto"/>
          <w:vertAlign w:val="baseline"/>
        </w:rPr>
        <w:t>8．</w:t>
      </w:r>
      <w:r>
        <w:rPr>
          <w:rFonts w:ascii="Times New Roman" w:eastAsia="Times New Roman" w:hAnsi="Times New Roman" w:cs="Times New Roman"/>
          <w:color w:val="000000"/>
          <w:sz w:val="21"/>
          <w:shd w:val="clear" w:color="auto" w:fill="auto"/>
          <w:vertAlign w:val="baseline"/>
        </w:rPr>
        <w:t>C</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】6．</w:t>
      </w:r>
      <w:r>
        <w:rPr>
          <w:rFonts w:ascii="宋体" w:eastAsia="宋体" w:hAnsi="宋体" w:cs="宋体"/>
          <w:color w:val="000000"/>
          <w:sz w:val="21"/>
          <w:shd w:val="clear" w:color="auto" w:fill="auto"/>
          <w:vertAlign w:val="baseline"/>
        </w:rPr>
        <w:t>近代以来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海运等交通条件的变化成为城市发展的重要影响因素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上海等港口城市因交通优势迅速崛起</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苏州由于主导产业优势随交通区位改变而转移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城市等级也随之发生变化</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选项正确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材料中未体现主导产业转移是直接导致苏州城市等级变化的原因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其根源在于交通等区位条件的改变</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选项错误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内陆市场并未弱化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且并非苏州城市等级变化的主要因素</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选项错误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材料中未提及政策支持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因此政策并非影响苏州城市等级变化的主要因素</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选项错误</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rFonts w:hint="eastAsia"/>
          <w:sz w:val="21"/>
        </w:rPr>
      </w:pPr>
      <w:r>
        <w:rPr>
          <w:rFonts w:ascii="Times New Roman" w:eastAsia="Times New Roman" w:hAnsi="Times New Roman" w:cs="Times New Roman"/>
          <w:color w:val="000000"/>
          <w:sz w:val="21"/>
          <w:shd w:val="clear" w:color="auto" w:fill="auto"/>
          <w:vertAlign w:val="baseline"/>
        </w:rPr>
        <w:t>7．</w:t>
      </w:r>
      <w:r>
        <w:rPr>
          <w:rFonts w:ascii="宋体" w:eastAsia="宋体" w:hAnsi="宋体" w:cs="宋体"/>
          <w:color w:val="000000"/>
          <w:sz w:val="21"/>
          <w:shd w:val="clear" w:color="auto" w:fill="auto"/>
          <w:vertAlign w:val="baseline"/>
        </w:rPr>
        <w:t>长江三角洲门户城市的演化与商品贸易需求紧密相关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门户城市因货物中转需求而发展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商品贸易的需要成为其演化的核心驱动力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例如上海港因贸易兴起成为重要门户城市</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选项正确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科技创新并非门户城市演化的关键因素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材料着重强调货物中转和贸易需求的作用</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选项错误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港口条件的改善是贸易发展带来的结果</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而非门户城市演化的核心驱动力</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选项错误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城市等级提升是门户城市演化后的结果</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而非推动其发展的原因</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选项错误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8．</w:t>
      </w:r>
      <w:r>
        <w:rPr>
          <w:rFonts w:ascii="宋体" w:eastAsia="宋体" w:hAnsi="宋体" w:cs="宋体"/>
          <w:color w:val="000000"/>
          <w:sz w:val="21"/>
          <w:shd w:val="clear" w:color="auto" w:fill="auto"/>
          <w:vertAlign w:val="baseline"/>
        </w:rPr>
        <w:t>上海发展为核心城市后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凭借强大的辐射带动作用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促使周边城市在产业布局与功能定位上加强分工协作</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形成协同发展的良好格局</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选项正确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在上海的辐射影响下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周边城市空间布局会形成差异化特色分工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并非趋向均衡</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选项错误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上海的带动作用会进一步促进产业集聚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增强产业集群效应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而非减弱</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选项错误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协同发展有助于提升周边城市在国际竞争中的地位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并非降低</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选项错误</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sz w:val="21"/>
        </w:rPr>
      </w:pP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9．</w:t>
      </w:r>
      <w:r>
        <w:rPr>
          <w:rFonts w:ascii="Times New Roman" w:eastAsia="Times New Roman" w:hAnsi="Times New Roman" w:cs="Times New Roman"/>
          <w:color w:val="000000"/>
          <w:sz w:val="21"/>
          <w:shd w:val="clear" w:color="auto" w:fill="auto"/>
          <w:vertAlign w:val="baseline"/>
        </w:rPr>
        <w:t xml:space="preserve">B    </w:t>
      </w:r>
      <w:r>
        <w:rPr>
          <w:rFonts w:ascii="Times New Roman" w:eastAsia="Times New Roman" w:hAnsi="Times New Roman" w:cs="Times New Roman"/>
          <w:color w:val="000000"/>
          <w:sz w:val="21"/>
          <w:shd w:val="clear" w:color="auto" w:fill="auto"/>
          <w:vertAlign w:val="baseline"/>
        </w:rPr>
        <w:t>10．</w:t>
      </w:r>
      <w:r>
        <w:rPr>
          <w:rFonts w:ascii="Times New Roman" w:eastAsia="Times New Roman" w:hAnsi="Times New Roman" w:cs="Times New Roman"/>
          <w:color w:val="000000"/>
          <w:sz w:val="21"/>
          <w:shd w:val="clear" w:color="auto" w:fill="auto"/>
          <w:vertAlign w:val="baseline"/>
        </w:rPr>
        <w:t>B</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】9．</w:t>
      </w:r>
      <w:r>
        <w:rPr>
          <w:rFonts w:ascii="宋体" w:eastAsia="宋体" w:hAnsi="宋体" w:cs="宋体"/>
          <w:color w:val="000000"/>
          <w:sz w:val="21"/>
          <w:shd w:val="clear" w:color="auto" w:fill="auto"/>
          <w:vertAlign w:val="baseline"/>
        </w:rPr>
        <w:t>受耕作和灌溉影响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农田土壤孔隙状况使其透水性较强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而田间小路作为土质路面</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因行人与小型农机具的通行压实了土壤</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透水性较弱</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选项错误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田间小路为裸露土质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无农作物覆盖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水分蒸发面积小且土壤紧实</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水分不易留存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蒸发量小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农田因农作物的蒸腾作用和土壤水分蒸发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整体蒸发量更大</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选项正确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长期种植作物的农田有机质积累多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土壤颜色较深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田间小路因频繁踩踏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土壤颜色相对较浅</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选项错误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土壤矿物质主要取决于成土母质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田间小路与周边农田的成土母质差异不大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因此矿物质含量差别也较小</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选项错误</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rFonts w:hint="eastAsia"/>
          <w:sz w:val="21"/>
        </w:rPr>
      </w:pPr>
      <w:r>
        <w:rPr>
          <w:rFonts w:ascii="Times New Roman" w:eastAsia="Times New Roman" w:hAnsi="Times New Roman" w:cs="Times New Roman"/>
          <w:color w:val="000000"/>
          <w:sz w:val="21"/>
          <w:shd w:val="clear" w:color="auto" w:fill="auto"/>
          <w:vertAlign w:val="baseline"/>
        </w:rPr>
        <w:t>10．</w:t>
      </w:r>
      <w:r>
        <w:rPr>
          <w:rFonts w:ascii="宋体" w:eastAsia="宋体" w:hAnsi="宋体" w:cs="宋体"/>
          <w:color w:val="000000"/>
          <w:sz w:val="21"/>
          <w:shd w:val="clear" w:color="auto" w:fill="auto"/>
          <w:vertAlign w:val="baseline"/>
        </w:rPr>
        <w:t>为将田间小路整治为农田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施用有机肥料能够改良土壤</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提升肥力</w:t>
      </w:r>
      <w:r>
        <w:rPr>
          <w:rFonts w:ascii="Times New Roman" w:eastAsia="Times New Roman" w:hAnsi="Times New Roman" w:cs="Times New Roman"/>
          <w:color w:val="000000"/>
          <w:sz w:val="21"/>
          <w:shd w:val="clear" w:color="auto" w:fill="auto"/>
          <w:vertAlign w:val="baseline"/>
        </w:rPr>
        <w:t>，①</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增加黏粒含量会导致土壤板结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不利于耕种</w:t>
      </w:r>
      <w:r>
        <w:rPr>
          <w:rFonts w:ascii="Times New Roman" w:eastAsia="Times New Roman" w:hAnsi="Times New Roman" w:cs="Times New Roman"/>
          <w:color w:val="000000"/>
          <w:sz w:val="21"/>
          <w:shd w:val="clear" w:color="auto" w:fill="auto"/>
          <w:vertAlign w:val="baseline"/>
        </w:rPr>
        <w:t>，②</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机械深耕深翻可改善土壤结构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打破小路被压实的土层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使土壤更适合种植</w:t>
      </w:r>
      <w:r>
        <w:rPr>
          <w:rFonts w:ascii="Times New Roman" w:eastAsia="Times New Roman" w:hAnsi="Times New Roman" w:cs="Times New Roman"/>
          <w:color w:val="000000"/>
          <w:sz w:val="21"/>
          <w:shd w:val="clear" w:color="auto" w:fill="auto"/>
          <w:vertAlign w:val="baseline"/>
        </w:rPr>
        <w:t>，③</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华北平原的田间小路并非盐渍化严重区域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采取淋盐措施必要性较低</w:t>
      </w:r>
      <w:r>
        <w:rPr>
          <w:rFonts w:ascii="Times New Roman" w:eastAsia="Times New Roman" w:hAnsi="Times New Roman" w:cs="Times New Roman"/>
          <w:color w:val="000000"/>
          <w:sz w:val="21"/>
          <w:shd w:val="clear" w:color="auto" w:fill="auto"/>
          <w:vertAlign w:val="baseline"/>
        </w:rPr>
        <w:t>，④</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综上</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选项正确</w:t>
      </w:r>
      <w:r>
        <w:rPr>
          <w:rFonts w:ascii="Times New Roman" w:eastAsia="Times New Roman" w:hAnsi="Times New Roman" w:cs="Times New Roman"/>
          <w:color w:val="000000"/>
          <w:sz w:val="21"/>
          <w:shd w:val="clear" w:color="auto" w:fill="auto"/>
          <w:vertAlign w:val="baseline"/>
        </w:rPr>
        <w:t xml:space="preserve">，ACD </w:t>
      </w:r>
      <w:r>
        <w:rPr>
          <w:rFonts w:ascii="宋体" w:eastAsia="宋体" w:hAnsi="宋体" w:cs="宋体"/>
          <w:color w:val="000000"/>
          <w:sz w:val="21"/>
          <w:shd w:val="clear" w:color="auto" w:fill="auto"/>
          <w:vertAlign w:val="baseline"/>
        </w:rPr>
        <w:t>选项错误</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sz w:val="21"/>
        </w:rPr>
      </w:pP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11．</w:t>
      </w:r>
      <w:r>
        <w:rPr>
          <w:rFonts w:ascii="Times New Roman" w:eastAsia="Times New Roman" w:hAnsi="Times New Roman" w:cs="Times New Roman"/>
          <w:color w:val="000000"/>
          <w:sz w:val="21"/>
          <w:shd w:val="clear" w:color="auto" w:fill="auto"/>
          <w:vertAlign w:val="baseline"/>
        </w:rPr>
        <w:t xml:space="preserve">D    </w:t>
      </w:r>
      <w:r>
        <w:rPr>
          <w:rFonts w:ascii="Times New Roman" w:eastAsia="Times New Roman" w:hAnsi="Times New Roman" w:cs="Times New Roman"/>
          <w:color w:val="000000"/>
          <w:sz w:val="21"/>
          <w:shd w:val="clear" w:color="auto" w:fill="auto"/>
          <w:vertAlign w:val="baseline"/>
        </w:rPr>
        <w:t>12．</w:t>
      </w:r>
      <w:r>
        <w:rPr>
          <w:rFonts w:ascii="Times New Roman" w:eastAsia="Times New Roman" w:hAnsi="Times New Roman" w:cs="Times New Roman"/>
          <w:color w:val="000000"/>
          <w:sz w:val="21"/>
          <w:shd w:val="clear" w:color="auto" w:fill="auto"/>
          <w:vertAlign w:val="baseline"/>
        </w:rPr>
        <w:t>C</w:t>
      </w:r>
    </w:p>
    <w:p>
      <w:pPr>
        <w:pStyle w:val="Normal9b2f0a30-7e14-4157-a628-15ef70236d99"/>
        <w:spacing w:line="320" w:lineRule="auto"/>
        <w:jc w:val="left"/>
        <w:textAlignment w:val="center"/>
        <w:rPr>
          <w:rFonts w:hint="eastAsia"/>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】11．</w:t>
      </w:r>
      <w:r>
        <w:rPr>
          <w:rFonts w:ascii="宋体" w:eastAsia="宋体" w:hAnsi="宋体" w:cs="宋体"/>
          <w:color w:val="000000"/>
          <w:sz w:val="21"/>
          <w:shd w:val="clear" w:color="auto" w:fill="auto"/>
          <w:vertAlign w:val="baseline"/>
        </w:rPr>
        <w:t>材料表明</w:t>
      </w:r>
      <w:r>
        <w:rPr>
          <w:rFonts w:ascii="Times New Roman" w:eastAsia="Times New Roman" w:hAnsi="Times New Roman" w:cs="Times New Roman"/>
          <w:color w:val="000000"/>
          <w:sz w:val="21"/>
          <w:shd w:val="clear" w:color="auto" w:fill="auto"/>
          <w:vertAlign w:val="baseline"/>
        </w:rPr>
        <w:t xml:space="preserve">，10 </w:t>
      </w:r>
      <w:r>
        <w:rPr>
          <w:rFonts w:ascii="宋体" w:eastAsia="宋体" w:hAnsi="宋体" w:cs="宋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 xml:space="preserve"> 8 - 9 </w:t>
      </w:r>
      <w:r>
        <w:rPr>
          <w:rFonts w:ascii="宋体" w:eastAsia="宋体" w:hAnsi="宋体" w:cs="宋体"/>
          <w:color w:val="000000"/>
          <w:sz w:val="21"/>
          <w:shd w:val="clear" w:color="auto" w:fill="auto"/>
          <w:vertAlign w:val="baseline"/>
        </w:rPr>
        <w:t>日影响该地的气团源于斯堪的纳维亚半岛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地处阿尔卑斯山脉北侧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属于冷空气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冷空气过境致使大气温度降低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这是勒奇山谷持续低温的主因</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坡面积雪影响持续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无法解释气温突变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且材料未提及前期积雪情况</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云层削弱太阳辐射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但降温效果弱于冷空气</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低温时积雪融化量少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不是导致低温的原因</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12．</w:t>
      </w:r>
      <w:r>
        <w:rPr>
          <w:rFonts w:ascii="宋体" w:eastAsia="宋体" w:hAnsi="宋体" w:cs="宋体"/>
          <w:color w:val="000000"/>
          <w:sz w:val="21"/>
          <w:shd w:val="clear" w:color="auto" w:fill="auto"/>
          <w:vertAlign w:val="baseline"/>
        </w:rPr>
        <w:t>根据图示信息可知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丙为下沉气流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下沉过程中温度升高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水汽不易凝结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降水较少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根据图示信息可知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甲</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乙两处为上升气流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上升过程中温度降低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水汽容易凝结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形成降水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降水较多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空气在受到地形抬升作用时上升不断冷却并凝结成云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进而形成降水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降水过程中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空气中的水汽含量逐渐减少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导致降水量无法持续上升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所以乙地降水多于甲地</w:t>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，BAD</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13．</w:t>
      </w:r>
      <w:r>
        <w:rPr>
          <w:rFonts w:ascii="Times New Roman" w:eastAsia="Times New Roman" w:hAnsi="Times New Roman" w:cs="Times New Roman"/>
          <w:color w:val="000000"/>
          <w:sz w:val="21"/>
          <w:shd w:val="clear" w:color="auto" w:fill="auto"/>
          <w:vertAlign w:val="baseline"/>
        </w:rPr>
        <w:t xml:space="preserve">D    </w:t>
      </w:r>
      <w:r>
        <w:rPr>
          <w:rFonts w:ascii="Times New Roman" w:eastAsia="Times New Roman" w:hAnsi="Times New Roman" w:cs="Times New Roman"/>
          <w:color w:val="000000"/>
          <w:sz w:val="21"/>
          <w:shd w:val="clear" w:color="auto" w:fill="auto"/>
          <w:vertAlign w:val="baseline"/>
        </w:rPr>
        <w:t>14．</w:t>
      </w:r>
      <w:r>
        <w:rPr>
          <w:rFonts w:ascii="Times New Roman" w:eastAsia="Times New Roman" w:hAnsi="Times New Roman" w:cs="Times New Roman"/>
          <w:color w:val="000000"/>
          <w:sz w:val="21"/>
          <w:shd w:val="clear" w:color="auto" w:fill="auto"/>
          <w:vertAlign w:val="baseline"/>
        </w:rPr>
        <w:t xml:space="preserve">A    </w:t>
      </w:r>
      <w:r>
        <w:rPr>
          <w:rFonts w:ascii="Times New Roman" w:eastAsia="Times New Roman" w:hAnsi="Times New Roman" w:cs="Times New Roman"/>
          <w:color w:val="000000"/>
          <w:sz w:val="21"/>
          <w:shd w:val="clear" w:color="auto" w:fill="auto"/>
          <w:vertAlign w:val="baseline"/>
        </w:rPr>
        <w:t>15．</w:t>
      </w:r>
      <w:r>
        <w:rPr>
          <w:rFonts w:ascii="Times New Roman" w:eastAsia="Times New Roman" w:hAnsi="Times New Roman" w:cs="Times New Roman"/>
          <w:color w:val="000000"/>
          <w:sz w:val="21"/>
          <w:shd w:val="clear" w:color="auto" w:fill="auto"/>
          <w:vertAlign w:val="baseline"/>
        </w:rPr>
        <w:t>A</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】13．</w:t>
      </w:r>
      <w:r>
        <w:rPr>
          <w:rFonts w:ascii="宋体" w:eastAsia="宋体" w:hAnsi="宋体" w:cs="宋体"/>
          <w:color w:val="000000"/>
          <w:sz w:val="21"/>
          <w:shd w:val="clear" w:color="auto" w:fill="auto"/>
          <w:vertAlign w:val="baseline"/>
        </w:rPr>
        <w:t>据图中经纬度和所学知识可知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该地位于阿拉斯加西北部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北极圈以北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位于极地东风带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结合所学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新月形沙丘迎风坡缓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背风坡陡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规律和右图中甲地沙丘形状可知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该地主导风向为偏东风或偏北风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排除</w:t>
      </w:r>
      <w:r>
        <w:rPr>
          <w:rFonts w:ascii="Times New Roman" w:eastAsia="Times New Roman" w:hAnsi="Times New Roman" w:cs="Times New Roman"/>
          <w:color w:val="000000"/>
          <w:sz w:val="21"/>
          <w:shd w:val="clear" w:color="auto" w:fill="auto"/>
          <w:vertAlign w:val="baseline"/>
        </w:rPr>
        <w:t>BC</w:t>
      </w:r>
      <w:r>
        <w:rPr>
          <w:rFonts w:ascii="宋体" w:eastAsia="宋体" w:hAnsi="宋体" w:cs="宋体"/>
          <w:color w:val="000000"/>
          <w:sz w:val="21"/>
          <w:shd w:val="clear" w:color="auto" w:fill="auto"/>
          <w:vertAlign w:val="baseline"/>
        </w:rPr>
        <w:t>选项</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读左图可知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大科伯克沙地位于图示区域南部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故可判断该地的主导风向是偏北风</w:t>
      </w: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14．</w:t>
      </w:r>
      <w:r>
        <w:rPr>
          <w:rFonts w:ascii="宋体" w:eastAsia="宋体" w:hAnsi="宋体" w:cs="宋体"/>
          <w:color w:val="000000"/>
          <w:sz w:val="21"/>
          <w:shd w:val="clear" w:color="auto" w:fill="auto"/>
          <w:vertAlign w:val="baseline"/>
        </w:rPr>
        <w:t>材料明确指出</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大科伯克沙地是北极圈内典型的风沙活动区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由此可知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该地沙源主要为现代风沙沉积物</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附近湖泊虽可能有沉积物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但规模有限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并非主要沙源</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北极低温环境下岩石风化缓慢</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基岩风化沉积物对沙源贡献极小</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气候变暖使北极圈附近降水可能增加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河流沉积物增多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沙源本应增多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这与材料中</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沙地面积由约</w:t>
      </w:r>
      <w:r>
        <w:rPr>
          <w:rFonts w:ascii="Times New Roman" w:eastAsia="Times New Roman" w:hAnsi="Times New Roman" w:cs="Times New Roman"/>
          <w:color w:val="000000"/>
          <w:sz w:val="21"/>
          <w:shd w:val="clear" w:color="auto" w:fill="auto"/>
          <w:vertAlign w:val="baseline"/>
        </w:rPr>
        <w:t xml:space="preserve"> 650 km² </w:t>
      </w:r>
      <w:r>
        <w:rPr>
          <w:rFonts w:ascii="宋体" w:eastAsia="宋体" w:hAnsi="宋体" w:cs="宋体"/>
          <w:color w:val="000000"/>
          <w:sz w:val="21"/>
          <w:shd w:val="clear" w:color="auto" w:fill="auto"/>
          <w:vertAlign w:val="baseline"/>
        </w:rPr>
        <w:t>波动萎缩至</w:t>
      </w:r>
      <w:r>
        <w:rPr>
          <w:rFonts w:ascii="Times New Roman" w:eastAsia="Times New Roman" w:hAnsi="Times New Roman" w:cs="Times New Roman"/>
          <w:color w:val="000000"/>
          <w:sz w:val="21"/>
          <w:shd w:val="clear" w:color="auto" w:fill="auto"/>
          <w:vertAlign w:val="baseline"/>
        </w:rPr>
        <w:t xml:space="preserve"> 62 km²” </w:t>
      </w:r>
      <w:r>
        <w:rPr>
          <w:rFonts w:ascii="宋体" w:eastAsia="宋体" w:hAnsi="宋体" w:cs="宋体"/>
          <w:color w:val="000000"/>
          <w:sz w:val="21"/>
          <w:shd w:val="clear" w:color="auto" w:fill="auto"/>
          <w:vertAlign w:val="baseline"/>
        </w:rPr>
        <w:t>不符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且沙地距科伯克河较远</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bookmarkStart w:id="0" w:name="_GoBack"/>
      <w:bookmarkEnd w:id="0"/>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15．</w:t>
      </w:r>
      <w:r>
        <w:rPr>
          <w:rFonts w:ascii="宋体" w:eastAsia="宋体" w:hAnsi="宋体" w:cs="宋体"/>
          <w:color w:val="000000"/>
          <w:sz w:val="21"/>
          <w:shd w:val="clear" w:color="auto" w:fill="auto"/>
          <w:vertAlign w:val="baseline"/>
        </w:rPr>
        <w:t>气候变暖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针叶林向北迁移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植被固定沙丘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减少风沙活动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风力侵蚀减弱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导致沙地面积萎缩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风力侵蚀减弱是造成该沙地萎缩的直接原因</w:t>
      </w: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气候变暖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北极圈附近气温上升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降水可能增加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促进植被</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如针叶林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向高纬度扩张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植被固定沙丘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削减风力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沙地活动区萎缩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降水量增多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针叶林扩张是导致该沙地萎缩的间接原因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通过削减风力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减少沙源起作用</w:t>
      </w:r>
      <w:r>
        <w:rPr>
          <w:rFonts w:ascii="Times New Roman" w:eastAsia="Times New Roman" w:hAnsi="Times New Roman" w:cs="Times New Roman"/>
          <w:color w:val="000000"/>
          <w:sz w:val="21"/>
          <w:shd w:val="clear" w:color="auto" w:fill="auto"/>
          <w:vertAlign w:val="baseline"/>
        </w:rPr>
        <w:t>，BD</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河流侵蚀加强与沙地萎缩无直接关联</w:t>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center"/>
        <w:textAlignment w:val="center"/>
        <w:rPr>
          <w:rFonts w:ascii="黑体" w:eastAsia="黑体" w:hAnsi="黑体" w:cs="黑体"/>
          <w:b/>
          <w:i w:val="0"/>
          <w:color w:val="000000"/>
          <w:sz w:val="30"/>
        </w:rPr>
      </w:pP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16．</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自然条件优越</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可再生能源丰富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生态基础好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碳汇能力强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以生态渔业和生态旅游为主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碳排放低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政府政策支持</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碳汇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保护森林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修复湿地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增强固碳能力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通过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海底森林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开发海洋蓝碳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修复近海生态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促进珊瑚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贝类等生长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增加海洋碳汇</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宋体" w:eastAsia="宋体" w:hAnsi="宋体" w:cs="宋体"/>
          <w:color w:val="000000"/>
          <w:sz w:val="21"/>
          <w:shd w:val="clear" w:color="auto" w:fill="auto"/>
          <w:vertAlign w:val="baseline"/>
        </w:rPr>
        <w:t>碳排</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优化能源结构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使用清洁能源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产业转型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发展低碳产业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采用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绿色</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建筑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执行零碳标准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推广新能源汽车使用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推进交通全电替代</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采用可再生能源多能互补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摆脱化石能源依赖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产业低碳转型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兼顾经济与减排</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强化海洋碳汇与陆地森林和湿地保护</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构建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蓝碳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绿碳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协同增汇模式</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长岛建设国际零碳岛的有利条件可以从政策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生态基础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自然条件等角度综合分析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长岛地处黄渤海交会处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岛屿及周边海域的波浪能等清洁能源丰富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受季风影响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加上海域辽阔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风能资源丰富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夏季光照充足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太阳辐射能资源储量较多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得天独厚的自然条件为当地提供丰富的可再生能源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结合材料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长岛地处鸟类迁徙大通道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森林覆盖率达</w:t>
      </w:r>
      <w:r>
        <w:rPr>
          <w:rFonts w:ascii="Times New Roman" w:eastAsia="Times New Roman" w:hAnsi="Times New Roman" w:cs="Times New Roman"/>
          <w:color w:val="000000"/>
          <w:sz w:val="21"/>
          <w:shd w:val="clear" w:color="auto" w:fill="auto"/>
          <w:vertAlign w:val="baseline"/>
        </w:rPr>
        <w:t>60%，“</w:t>
      </w:r>
      <w:r>
        <w:rPr>
          <w:rFonts w:ascii="宋体" w:eastAsia="宋体" w:hAnsi="宋体" w:cs="宋体"/>
          <w:color w:val="000000"/>
          <w:sz w:val="21"/>
          <w:shd w:val="clear" w:color="auto" w:fill="auto"/>
          <w:vertAlign w:val="baseline"/>
        </w:rPr>
        <w:t>海底森林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覆盖面积较广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长岛的海陆生态基础较好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具有较强的碳汇能力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该岛屿的主导产业是生态渔业和生态旅游</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并使用较多的新能源汽车等交通工具</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碳排放较低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国家和地方的政策扶持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引导当地绿色产业发展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构建低碳排</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高碳汇的发展格局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为建设国际零碳岛提供优越的条件</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本题考查碳汇和碳排的途径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从碳汇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增加碳吸收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和碳排</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减少碳排放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角度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结合长岛地理特征与生态优势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分析其建设国际零碳岛的主要途径</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宋体" w:eastAsia="宋体" w:hAnsi="宋体" w:cs="宋体"/>
          <w:color w:val="000000"/>
          <w:sz w:val="21"/>
          <w:shd w:val="clear" w:color="auto" w:fill="auto"/>
          <w:vertAlign w:val="baseline"/>
        </w:rPr>
        <w:t>碳汇角度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岛屿陆地空间有限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可通过保护森林和修复湿地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提升现有生态系统质量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增强固碳能力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依托黄渤海交汇的海洋资源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通过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海底森林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等海洋生态系统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加速海洋固碳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开发海洋蓝碳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通过修复近海生态系统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促进珊瑚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贝类等生长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丰富海洋生物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并通过生物钙化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沉积作用等固碳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增加海洋碳汇</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宋体" w:eastAsia="宋体" w:hAnsi="宋体" w:cs="宋体"/>
          <w:color w:val="000000"/>
          <w:sz w:val="21"/>
          <w:shd w:val="clear" w:color="auto" w:fill="auto"/>
          <w:vertAlign w:val="baseline"/>
        </w:rPr>
        <w:t>碳排角度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依托当地风能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太阳能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潮汐能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波浪能等资源优势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优化能源结构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使用清洁能源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通过推广新能源渔船</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生态养殖等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促进渔业碳减排</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通过发展旅游业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打造绿色低碳旅游品牌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促进产业转型升级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新建建筑执行零碳标准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优先使用海草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贝壳等本地生态建材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减少水泥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钢铁等高碳材料使用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从建筑全生命周期控制碳排放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利用岛屿面积小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交通网络简单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清洁能源丰富等优势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推广新能源汽车使用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推动交通全电替代</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减少碳排放</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本题考查生态脆弱性岛屿的可持续发展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小尺度岛屿因空间集中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产业单一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更易实现全领域零碳化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为全球类似海岛提供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低成本</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可复制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的零碳范式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结合风能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光伏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潮汐发电等构建多元化能源网络</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突破海岛单一能源限制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实现</w:t>
      </w:r>
      <w:r>
        <w:rPr>
          <w:rFonts w:ascii="Times New Roman" w:eastAsia="Times New Roman" w:hAnsi="Times New Roman" w:cs="Times New Roman"/>
          <w:color w:val="000000"/>
          <w:sz w:val="21"/>
          <w:shd w:val="clear" w:color="auto" w:fill="auto"/>
          <w:vertAlign w:val="baseline"/>
        </w:rPr>
        <w:t>100%</w:t>
      </w:r>
      <w:r>
        <w:rPr>
          <w:rFonts w:ascii="宋体" w:eastAsia="宋体" w:hAnsi="宋体" w:cs="宋体"/>
          <w:color w:val="000000"/>
          <w:sz w:val="21"/>
          <w:shd w:val="clear" w:color="auto" w:fill="auto"/>
          <w:vertAlign w:val="baseline"/>
        </w:rPr>
        <w:t>清洁能源使用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岛内产业进行优化升级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在促进经济发展的同时降低碳排放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实现经济发展和减排双赢</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海洋碳汇速度快</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陆地碳汇稳定性强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通过保护海洋生态环境和随地植被等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构建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蓝碳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绿碳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协同增汇模式</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17．</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植被演替表现为从针阔混交林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阔叶林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针叶林的变化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末次间冰期气候变化规律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先变暖湿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后变冷湿</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该湖是冰川堆积物围成洼地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积水形成的冰碛湖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湖泊形成初期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冰川融水携带大量残冰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砂粒等物质进入湖中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沉积在湖底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生物有机体逐渐在湖内沉积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形成了腐殖质淤泥层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而后随着气候变暖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残冰逐渐消融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砂粒逐渐沉积至湖底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由于气候不断变暖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湖区植被覆盖增加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生物有机体在湖内沉积增加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腐殖质淤泥层逐渐增厚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到后期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随着气候变冷</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生物有机体不易分解</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逐渐积累成厚厚的泥炭层</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帕里索夫湖位于冰碛高地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地势较高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湖水多下渗补给地下水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流失严重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冰碛物孔隙度较大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地下水容易下渗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湖水得不到稳定的地下水补给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干旱时期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湖水蒸发量大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补给量少</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早期针叶树和阔叶树共存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以阔叶树为主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说明气候在转暖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中期完全演变成阔叶树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说明气候逐渐暖湿化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晚期则完全演变成针叶树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说明气候又转冷</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同时结合晚期形成较厚的泥炭层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可以判断此时气候偏冷湿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由此可以推断该湖所在区域末次间冰期的气候变化规律为先变暖湿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后变冷湿</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由材料可知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该湖泊发育于大陆冰盖消退后的孤立冰碛高地上</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结合所学知识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推测该湖是冰川作用下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由冰川堆积物围成洼地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后积水形成的冰碛湖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读图可知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不同时期湖泊的沉积物是不同的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根据其位置可以梳理出其形成的先后顺序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依次是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残冰层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砂粒层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腐殖质淤泥层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泥炭层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具体过程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湖泊形成后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冰川融水携带大量残冰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砂粒等物质进入湖中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沉积在湖底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湖中的生物有机体逐渐在湖内沉积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形成了腐殖质淤泥层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随着气候变暖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残冰消融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砂粒沉积至湖底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气候不断变暖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利于植被生长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湖区植被覆盖增加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大量生物有机体在湖内沉积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腐殖质淤泥层增厚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后期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气候变冷</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湖底的生物有机体不易分解</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逐渐积累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形成厚厚的泥炭层</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从水循环角度看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湖泊的干涸主要是来水少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去水多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从材料中可知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该地地处孤立冰碛高地上</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地势较高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湖水多下渗补给地下水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导致湖水流失严重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冰碛物颗粒粗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空隙大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地下水容易下渗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导致湖水缺乏稳定补给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当气候变干时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该湖泊湖水蒸发量加大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又缺乏足够的水源补给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最终导致干涸</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18．</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社区老龄人口数量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分布及需求状况</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现有养老驿站的数量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位置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服务范围及服务内容</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社区内道路交通状况</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包括主干道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支路的分布及通行能力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社区内公共设施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如公园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幼儿园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的分布状况</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居民对养老服务驿站的认知度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满意度及改进建议</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选择环境优美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空气清新的位置布局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优先在已有养老服务驿站未覆盖区域布局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优化出行路径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布局在交通便利的位置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完善周边配套设施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加大宣传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提高驿站的利用率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服务内容多样化</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解答本题需要明确源查目的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根据材料可知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调查目的是了解社区养老服务驿站区位状况并为优化驿站布局提供参考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因此需要围绕建立合适的养老聚务驿站进行调查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并结合材料中不同老人的需求进行调查内容设计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具体分析如下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明确服务对象规模和需求特点</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以便合理规划驿站布局和服务内容</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调查内容</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了解社区老龄人口数量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分布及需求情况</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评估现有布局的合理性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找出存在的问题和不足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调查内容</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掌握现有养老服务驿站的数量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位置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服务范围及服务内容</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确定驿站选址和服务半径的重要依据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调查内容</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社区内道路交通状况</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居民前往驿站的便利性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优化驿站布局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更好地满足老人需求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调查内容</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了解社区内公共设施的分布情况</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如公园是老人锻炼休闲的场所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幼儿园则是周边老人可能接送孩子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从使用者角度获取反馈</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为优化驿站布局和服务提供参考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调查内容</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居民对养老服务驿站的认知度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满意度及改进建议</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社区养老服务驿站自然环境较差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未实现全区域覆盖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优化建议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选择环境优美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空气消新的位置布局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养老服务驿站半径需要控制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合理的位置布局能满足不同位置老人的需求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优先在已有养老服务驿站未覆盖区域布局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社区养老服务驿站位置远</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优化建议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养老服务驿站需要布局在交通通达度好的地方</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方便不同位置的老人前往驿站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基础设施不完善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优化建议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驿站周围基础设施需要完善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如图中的居委会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幼儿园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公园等都要协调考虑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加强宣传推广力度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提高居民对驿站的认知度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让更多老人了解并接受驿站服务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提高驿站的利用率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社区组织的活动较少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优化建议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不同老人有不同需求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w:t>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处老人喜欢室外锻炼</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应优化服务内容</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提供多样化服务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能更好地满足居民需求</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19．</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秦岭是我国重要的地理分界线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根据</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月平均气温</w:t>
      </w:r>
      <w:r>
        <w:rPr>
          <w:rFonts w:ascii="Times New Roman" w:eastAsia="Times New Roman" w:hAnsi="Times New Roman" w:cs="Times New Roman"/>
          <w:color w:val="000000"/>
          <w:sz w:val="21"/>
          <w:shd w:val="clear" w:color="auto" w:fill="auto"/>
          <w:vertAlign w:val="baseline"/>
        </w:rPr>
        <w:t>0℃</w:t>
      </w:r>
      <w:r>
        <w:rPr>
          <w:rFonts w:ascii="宋体" w:eastAsia="宋体" w:hAnsi="宋体" w:cs="宋体"/>
          <w:color w:val="000000"/>
          <w:sz w:val="21"/>
          <w:shd w:val="clear" w:color="auto" w:fill="auto"/>
          <w:vertAlign w:val="baseline"/>
        </w:rPr>
        <w:t>等温线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在我国东部地区划分出温带季风气候和亚热带季风气候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秦岭作为分水岭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划分长江流域和黄河流域</w:t>
      </w:r>
      <w:r>
        <w:rPr>
          <w:rFonts w:ascii="Times New Roman" w:eastAsia="Times New Roman" w:hAnsi="Times New Roman" w:cs="Times New Roman"/>
          <w:color w:val="000000"/>
          <w:sz w:val="21"/>
          <w:shd w:val="clear" w:color="auto" w:fill="auto"/>
          <w:vertAlign w:val="baseline"/>
        </w:rPr>
        <w:t>；800mm</w:t>
      </w:r>
      <w:r>
        <w:rPr>
          <w:rFonts w:ascii="宋体" w:eastAsia="宋体" w:hAnsi="宋体" w:cs="宋体"/>
          <w:color w:val="000000"/>
          <w:sz w:val="21"/>
          <w:shd w:val="clear" w:color="auto" w:fill="auto"/>
          <w:vertAlign w:val="baseline"/>
        </w:rPr>
        <w:t>年等降水量线划分湿润区和半湿润区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由此可知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秦岭是划分南北方的重要地理分界线</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宋体" w:eastAsia="宋体" w:hAnsi="宋体" w:cs="宋体"/>
          <w:color w:val="000000"/>
          <w:sz w:val="21"/>
          <w:shd w:val="clear" w:color="auto" w:fill="auto"/>
          <w:vertAlign w:val="baseline"/>
        </w:rPr>
        <w:t>秦岭地处我国南北方的过渡地带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秦岭作为北方和南方地区的地理分界线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具有一定的宽度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兼具南北方的特点</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例如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秦岭地处我国南方水稻种植区与北方小麦种植区的过渡地带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从植被角度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秦岭也体现出由亚热带常绿阔叶林向温带落叶阔叶林过渡的特点</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由此可见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秦岭是连接南北方的过渡带</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和合南北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秦岭不仅是我国南北方的物资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人员交流的重要通道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在不断的沟通和交流过程中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慢慢融合和孕育了统一的中华文明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秦岭被誉为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中央水塔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调节黄河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长江两大水系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维持南北水资源平衡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因此从更大的空间尺度来看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秦岭不仅是分界线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是过渡带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更是和合南北的关键地带</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本题考查综合思维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设问要求从分界线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过渡带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和合南北三个方面阐述秦岭的地理意义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具体分析如下</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第一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秦岭作为分界线的地理意义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图中给出了气温界线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降水界线和流域界线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可推出秦岭划分温带季风气候和亚热带季风气候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划分长江流域和黄河流域</w:t>
      </w:r>
      <w:r>
        <w:rPr>
          <w:rFonts w:ascii="Times New Roman" w:eastAsia="Times New Roman" w:hAnsi="Times New Roman" w:cs="Times New Roman"/>
          <w:color w:val="000000"/>
          <w:sz w:val="21"/>
          <w:shd w:val="clear" w:color="auto" w:fill="auto"/>
          <w:vertAlign w:val="baseline"/>
        </w:rPr>
        <w:t>，800mm</w:t>
      </w:r>
      <w:r>
        <w:rPr>
          <w:rFonts w:ascii="宋体" w:eastAsia="宋体" w:hAnsi="宋体" w:cs="宋体"/>
          <w:color w:val="000000"/>
          <w:sz w:val="21"/>
          <w:shd w:val="clear" w:color="auto" w:fill="auto"/>
          <w:vertAlign w:val="baseline"/>
        </w:rPr>
        <w:t>年等降水量线划分湿润区和半湿润区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根据所学知识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秦岭作为分界线远远不止于此</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基于图示的秦岭南北水热差异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引出了秦岭作为南北方植被带的分界线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小麦和水稻种植区的分界线等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这是从相对宏观的角度去看的</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宋体" w:eastAsia="宋体" w:hAnsi="宋体" w:cs="宋体"/>
          <w:color w:val="000000"/>
          <w:sz w:val="21"/>
          <w:shd w:val="clear" w:color="auto" w:fill="auto"/>
          <w:vertAlign w:val="baseline"/>
        </w:rPr>
        <w:t>第二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将区域尺度进一步缩小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聚焦于秦岭本身时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会发现秦岭本身就是一个区域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从图中看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秦岭作为气温的分界线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降水的分界线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流域的分界线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三条线并不重合</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因此秦岭自身的水热条件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植被</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土壤具有过渡性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如南方水稻种植区与北方小麦种植区的过渡地带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植被由亚热带常绿阔叶林向温带落叶阔叶林过渡</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sz w:val="21"/>
        </w:rPr>
      </w:pPr>
      <w:r>
        <w:rPr>
          <w:rFonts w:ascii="宋体" w:eastAsia="宋体" w:hAnsi="宋体" w:cs="宋体"/>
          <w:color w:val="000000"/>
          <w:sz w:val="21"/>
          <w:shd w:val="clear" w:color="auto" w:fill="auto"/>
          <w:vertAlign w:val="baseline"/>
        </w:rPr>
        <w:t>第三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和合南北这个词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从材料看出自总书记的讲话</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指代的是秦岭的文化意义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虽然秦岭分割南北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带来了南北方不同的自然景观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材料中提到了谷地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山口</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桥隧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这些通道促进了南北两侧人员的交流和沟通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在不断的沟通和交流过程中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孕育了统一的中华文明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秦岭地势较高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被誉为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中央水塔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调节黄河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长江两大水系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维持南北水资源平衡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秦岭融合了我国南北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使我国形成了统一的中华文化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这是和合南北的意义所在</w:t>
      </w:r>
      <w:r>
        <w:rPr>
          <w:rFonts w:ascii="Times New Roman" w:eastAsia="Times New Roman" w:hAnsi="Times New Roman" w:cs="Times New Roman"/>
          <w:color w:val="000000"/>
          <w:sz w:val="21"/>
          <w:shd w:val="clear" w:color="auto" w:fill="auto"/>
          <w:vertAlign w:val="baseline"/>
        </w:rPr>
        <w:t>。</w:t>
      </w:r>
    </w:p>
    <w:p>
      <w:pPr>
        <w:pStyle w:val="Normal9b2f0a30-7e14-4157-a628-15ef70236d99"/>
        <w:spacing w:line="320" w:lineRule="auto"/>
        <w:jc w:val="left"/>
        <w:textAlignment w:val="center"/>
        <w:rPr>
          <w:sz w:val="21"/>
        </w:rPr>
      </w:pPr>
    </w:p>
    <w:sectPr>
      <w:headerReference w:type="even" r:id="rId12"/>
      <w:headerReference w:type="default" r:id="rId13"/>
      <w:footerReference w:type="even" r:id="rId14"/>
      <w:footerReference w:type="default" r:id="rId15"/>
      <w:headerReference w:type="first" r:id="rId16"/>
      <w:pgSz w:w="11900" w:h="16840" w:orient="portrait"/>
      <w:pgMar w:top="1000" w:right="1800" w:bottom="1200" w:left="1800" w:header="40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jc w:val="center"/>
    </w:pPr>
    <w:r>
      <w:t xml:space="preserve">第 </w:t>
    </w:r>
    <w:r>
      <w:fldChar w:fldCharType="begin"/>
    </w:r>
    <w:r>
      <w:instrText>PAGE "page number"</w:instrText>
    </w:r>
    <w:r>
      <w:fldChar w:fldCharType="separate"/>
    </w:r>
    <w:r>
      <w:t>page number</w:t>
    </w:r>
    <w:r>
      <w:fldChar w:fldCharType="end"/>
    </w:r>
    <w:r>
      <w:t xml:space="preserve"> 页，共 </w:t>
    </w:r>
    <w:r>
      <w:fldChar w:fldCharType="begin"/>
    </w:r>
    <w:r>
      <w:instrText>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jc w:val="center"/>
    </w:pPr>
    <w:r>
      <w:t xml:space="preserve">第 </w:t>
    </w:r>
    <w:r>
      <w:fldChar w:fldCharType="begin"/>
    </w:r>
    <w:r>
      <w:instrText>PAGE "page number"</w:instrText>
    </w:r>
    <w:r>
      <w:fldChar w:fldCharType="separate"/>
    </w:r>
    <w:r>
      <w:t>page number</w:t>
    </w:r>
    <w:r>
      <w:fldChar w:fldCharType="end"/>
    </w:r>
    <w:r>
      <w:t xml:space="preserve"> 页，共 </w:t>
    </w:r>
    <w:r>
      <w:fldChar w:fldCharType="begin"/>
    </w:r>
    <w:r>
      <w:instrText>NUMPAGES "number of pages"</w:instrText>
    </w:r>
    <w:r>
      <w:fldChar w:fldCharType="separate"/>
    </w:r>
    <w:r>
      <w:t>number of pages</w:t>
    </w:r>
    <w:r>
      <w:fldChar w:fldCharType="end"/>
    </w:r>
    <w:r>
      <w:t xml:space="preserve"> 页</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25" o:spid="_x0000_s2049" type="#_x0000_t136" style="width:245.17pt;height:69.81pt;margin-top:0;margin-left:0;mso-position-horizontal:center;mso-position-horizontal-relative:margin;mso-position-vertical:center;mso-position-vertical-relative:margin;position:absolute;rotation:315;z-index:251658240" o:allowincell="f" fillcolor="white" stroked="f">
          <v:fill opacity="0.5"/>
          <v:textpath style="font-family:'Times New Roman';font-size:64pt" string="试题资源网"/>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26" o:spid="_x0000_s2050" type="#_x0000_t136" style="width:245.17pt;height:69.81pt;margin-top:0;margin-left:0;mso-position-horizontal:center;mso-position-horizontal-relative:margin;mso-position-vertical:center;mso-position-vertical-relative:margin;position:absolute;rotation:315;z-index:251659264" o:allowincell="f" fillcolor="white" stroked="f">
          <v:fill opacity="0.5"/>
          <v:textpath style="font-family:'Times New Roman';font-size:64pt" string="试题资源网"/>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27" o:spid="_x0000_s2051" type="#_x0000_t136" style="width:245.17pt;height:69.81pt;margin-top:0;margin-left:0;mso-position-horizontal:center;mso-position-horizontal-relative:margin;mso-position-vertical:center;mso-position-vertical-relative:margin;position:absolute;rotation:315;z-index:251660288" o:allowincell="f" fillcolor="white" stroked="f">
          <v:fill opacity="0.5"/>
          <v:textpath style="font-family:'Times New Roman';font-size:64pt" string="试题资源网"/>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TrackMoves/>
  <w:defaultTabStop w:val="720"/>
  <w:characterSpacingControl w:val="doNotCompress"/>
  <w:compat>
    <w:spaceForUL/>
    <w:balanceSingleByteDoubleByteWidth/>
    <w:doNotLeaveBackslashAlone/>
    <w:ulTrailSpace/>
    <w:doNotExpandShiftReturn/>
    <w:adjustLineHeightInTable/>
    <w:useFELayout/>
    <w:compatSetting w:name="compatibilityMode" w:uri="http://schemas.microsoft.com/office/word" w:val="12"/>
    <w:compatSetting w:name="overrideTableStyleFontSizeAndJustification" w:uri="http://schemas.microsoft.com/office/word" w:val="0"/>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s>
  <w:themeFontLang w:val="en-US" w:eastAsia="zh-CN" w:bidi="ar-S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ascii="宋体" w:eastAsia="宋体" w:hAnsi="宋体" w:cs="宋体"/>
      <w:sz w:val="18"/>
      <w:szCs w:val="24"/>
      <w:lang w:val="en-US" w:eastAsia="uk-UA"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ubTitleStyle">
    <w:name w:val="subTitleStyle"/>
    <w:basedOn w:val="Normal"/>
    <w:qFormat/>
    <w:rPr>
      <w:rFonts w:ascii="宋体" w:eastAsia="宋体" w:hAnsi="宋体" w:cs="宋体"/>
      <w:b/>
      <w:color w:val="000000"/>
      <w:sz w:val="32"/>
    </w:rPr>
  </w:style>
  <w:style w:type="paragraph" w:customStyle="1" w:styleId="Normal9b2f0a30-7e14-4157-a628-15ef70236d99">
    <w:name w:val="Normal_9b2f0a30-7e14-4157-a628-15ef70236d99"/>
    <w:qFormat/>
    <w:rPr>
      <w:rFonts w:ascii="Times New Roman" w:eastAsia="Times New Roman" w:hAnsi="Times New Roman"/>
      <w:sz w:val="24"/>
      <w:szCs w:val="24"/>
      <w:lang w:val="en-US" w:eastAsia="uk-UA" w:bidi="ar-SA"/>
    </w:rPr>
  </w:style>
  <w:style w:type="paragraph" w:customStyle="1" w:styleId="paraStyle">
    <w:name w:val="paraStyle"/>
    <w:basedOn w:val="Normal"/>
    <w:qFormat/>
    <w:rPr>
      <w:b/>
      <w:sz w:val="21"/>
    </w:rPr>
  </w:style>
  <w:style w:type="paragraph" w:customStyle="1" w:styleId="subTitleStyleb92438a1-f81a-4664-b222-1a3d42cdf1c8">
    <w:name w:val="subTitleStyle_b92438a1-f81a-4664-b222-1a3d42cdf1c8"/>
    <w:basedOn w:val="Normal9b2f0a30-7e14-4157-a628-15ef70236d99"/>
    <w:qFormat/>
    <w:rPr>
      <w:rFonts w:ascii="宋体" w:eastAsia="宋体" w:hAnsi="宋体" w:cs="宋体"/>
      <w:b/>
      <w:color w:val="000000"/>
      <w:sz w:val="32"/>
    </w:rPr>
  </w:style>
  <w:style w:type="table" w:styleId="TableGrid">
    <w:name w:val="Table Gri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header" Target="header1.xml" /><Relationship Id="rId13" Type="http://schemas.openxmlformats.org/officeDocument/2006/relationships/header" Target="header2.xml" /><Relationship Id="rId14" Type="http://schemas.openxmlformats.org/officeDocument/2006/relationships/footer" Target="footer1.xml" /><Relationship Id="rId15" Type="http://schemas.openxmlformats.org/officeDocument/2006/relationships/footer" Target="footer2.xml" /><Relationship Id="rId16" Type="http://schemas.openxmlformats.org/officeDocument/2006/relationships/header" Target="header3.xml" /><Relationship Id="rId17" Type="http://schemas.openxmlformats.org/officeDocument/2006/relationships/theme" Target="theme/theme1.xml" /><Relationship Id="rId18"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image" Target="media/image1.png" /><Relationship Id="rId5" Type="http://schemas.openxmlformats.org/officeDocument/2006/relationships/image" Target="media/image2.png"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otalTime>0</TotalTime>
  <Pages>0</Pages>
  <Words>0</Words>
  <Characters>0</Characters>
  <Application>Microsoft Office Word</Application>
  <DocSecurity>0</DocSecurity>
  <Lines>0</Lines>
  <Paragraphs>0</Paragraphs>
  <ScaleCrop>false</ScaleCrop>
  <Manager>试题资源</Manager>
  <Company>众望教育</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试题资源网试卷</dc:title>
  <dc:subject>试题资源</dc:subject>
  <dc:creator>stzy.com</dc:creator>
  <cp:keywords>试题资源, 试卷,课件，题库，组卷，教案，教学资源，众望教育, 必刷题，必刷卷</cp:keywords>
  <dc:description>试题资源网 题好 卷好 备课好</dc:description>
  <cp:lastModifiedBy>试题资源网</cp:lastModifiedBy>
  <cp:revision>1</cp:revision>
  <dcterms:created xsi:type="dcterms:W3CDTF">2025-06-16T18:32:26Z</dcterms:created>
  <dcterms:modified xsi:type="dcterms:W3CDTF">2025-06-16T18:32:26Z</dcterms:modified>
  <cp:category>试题</cp:category>
</cp:coreProperties>
</file>